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DE3C68">
      <w:pPr>
        <w:adjustRightInd w:val="0"/>
        <w:snapToGrid w:val="0"/>
        <w:spacing w:line="360" w:lineRule="auto"/>
        <w:jc w:val="center"/>
        <w:rPr>
          <w:rFonts w:hint="eastAsia" w:ascii="黑体" w:hAnsi="黑体" w:eastAsia="黑体" w:cs="黑体"/>
          <w:color w:val="auto"/>
          <w:sz w:val="32"/>
          <w:szCs w:val="32"/>
          <w:lang w:val="en-US" w:eastAsia="zh-CN"/>
        </w:rPr>
      </w:pPr>
    </w:p>
    <w:p w14:paraId="484FC87F">
      <w:pPr>
        <w:pStyle w:val="2"/>
        <w:rPr>
          <w:rFonts w:hint="eastAsia"/>
        </w:rPr>
      </w:pPr>
    </w:p>
    <w:p w14:paraId="7C7278D6">
      <w:pPr>
        <w:adjustRightInd w:val="0"/>
        <w:snapToGrid w:val="0"/>
        <w:spacing w:line="360" w:lineRule="auto"/>
        <w:jc w:val="center"/>
        <w:rPr>
          <w:rFonts w:ascii="黑体" w:hAnsi="黑体" w:eastAsia="黑体" w:cs="黑体"/>
          <w:color w:val="auto"/>
          <w:sz w:val="32"/>
          <w:szCs w:val="32"/>
        </w:rPr>
      </w:pPr>
    </w:p>
    <w:p w14:paraId="62A25859">
      <w:pPr>
        <w:adjustRightInd w:val="0"/>
        <w:snapToGrid w:val="0"/>
        <w:spacing w:line="360" w:lineRule="auto"/>
        <w:jc w:val="center"/>
        <w:rPr>
          <w:rFonts w:ascii="黑体" w:hAnsi="黑体" w:eastAsia="黑体" w:cs="黑体"/>
          <w:color w:val="auto"/>
          <w:sz w:val="32"/>
          <w:szCs w:val="32"/>
        </w:rPr>
      </w:pPr>
    </w:p>
    <w:p w14:paraId="133AA1C7">
      <w:pPr>
        <w:adjustRightInd w:val="0"/>
        <w:snapToGrid w:val="0"/>
        <w:spacing w:line="360" w:lineRule="auto"/>
        <w:jc w:val="center"/>
        <w:rPr>
          <w:rFonts w:ascii="黑体" w:hAnsi="黑体" w:eastAsia="黑体" w:cs="黑体"/>
          <w:color w:val="auto"/>
          <w:sz w:val="32"/>
          <w:szCs w:val="32"/>
        </w:rPr>
      </w:pPr>
    </w:p>
    <w:p w14:paraId="629ECD7A">
      <w:pPr>
        <w:adjustRightInd w:val="0"/>
        <w:snapToGrid w:val="0"/>
        <w:spacing w:line="360" w:lineRule="auto"/>
        <w:ind w:left="0" w:leftChars="0" w:right="0" w:rightChars="0" w:firstLine="0" w:firstLineChars="0"/>
        <w:jc w:val="center"/>
        <w:rPr>
          <w:rFonts w:ascii="黑体" w:hAnsi="黑体" w:eastAsia="黑体" w:cs="黑体"/>
          <w:color w:val="auto"/>
          <w:sz w:val="40"/>
          <w:szCs w:val="40"/>
        </w:rPr>
      </w:pPr>
    </w:p>
    <w:p w14:paraId="50AD15FC">
      <w:pPr>
        <w:adjustRightInd w:val="0"/>
        <w:snapToGrid w:val="0"/>
        <w:spacing w:line="240" w:lineRule="auto"/>
        <w:ind w:left="0" w:leftChars="0" w:right="0" w:rightChars="0" w:firstLine="0" w:firstLineChars="0"/>
        <w:jc w:val="center"/>
        <w:rPr>
          <w:rFonts w:ascii="黑体" w:hAnsi="黑体" w:eastAsia="黑体" w:cs="黑体"/>
          <w:color w:val="auto"/>
          <w:sz w:val="52"/>
          <w:szCs w:val="52"/>
        </w:rPr>
      </w:pPr>
      <w:r>
        <w:rPr>
          <w:rFonts w:hint="eastAsia" w:ascii="黑体" w:hAnsi="黑体" w:eastAsia="黑体" w:cs="黑体"/>
          <w:color w:val="auto"/>
          <w:sz w:val="52"/>
          <w:szCs w:val="52"/>
        </w:rPr>
        <w:t>台儿庄区国民经济和社会发展</w:t>
      </w:r>
    </w:p>
    <w:p w14:paraId="41A80667">
      <w:pPr>
        <w:adjustRightInd w:val="0"/>
        <w:snapToGrid w:val="0"/>
        <w:spacing w:line="240" w:lineRule="auto"/>
        <w:ind w:left="0" w:leftChars="0" w:right="0" w:rightChars="0" w:firstLine="0" w:firstLineChars="0"/>
        <w:jc w:val="center"/>
        <w:rPr>
          <w:rFonts w:hint="eastAsia" w:ascii="黑体" w:hAnsi="黑体" w:eastAsia="黑体" w:cs="黑体"/>
          <w:color w:val="auto"/>
          <w:sz w:val="52"/>
          <w:szCs w:val="52"/>
        </w:rPr>
      </w:pPr>
      <w:r>
        <w:rPr>
          <w:rFonts w:hint="eastAsia" w:ascii="黑体" w:hAnsi="黑体" w:eastAsia="黑体" w:cs="黑体"/>
          <w:color w:val="auto"/>
          <w:sz w:val="52"/>
          <w:szCs w:val="52"/>
        </w:rPr>
        <w:t>第十五个五年规划纲要</w:t>
      </w:r>
    </w:p>
    <w:p w14:paraId="50F26A5B">
      <w:pPr>
        <w:adjustRightInd w:val="0"/>
        <w:snapToGrid w:val="0"/>
        <w:spacing w:line="360" w:lineRule="auto"/>
        <w:jc w:val="center"/>
        <w:rPr>
          <w:rFonts w:ascii="楷体_GB2312" w:hAnsi="黑体" w:eastAsia="楷体_GB2312" w:cs="黑体"/>
          <w:color w:val="auto"/>
          <w:sz w:val="40"/>
          <w:szCs w:val="40"/>
        </w:rPr>
      </w:pPr>
    </w:p>
    <w:p w14:paraId="2B986845">
      <w:pPr>
        <w:adjustRightInd w:val="0"/>
        <w:snapToGrid w:val="0"/>
        <w:spacing w:line="360" w:lineRule="auto"/>
        <w:jc w:val="center"/>
        <w:rPr>
          <w:rFonts w:ascii="楷体_GB2312" w:hAnsi="黑体" w:eastAsia="楷体_GB2312" w:cs="黑体"/>
          <w:color w:val="auto"/>
          <w:sz w:val="40"/>
          <w:szCs w:val="40"/>
        </w:rPr>
      </w:pPr>
    </w:p>
    <w:p w14:paraId="7C6E5990">
      <w:pPr>
        <w:adjustRightInd w:val="0"/>
        <w:snapToGrid w:val="0"/>
        <w:spacing w:line="360" w:lineRule="auto"/>
        <w:jc w:val="center"/>
        <w:rPr>
          <w:rFonts w:ascii="楷体_GB2312" w:hAnsi="黑体" w:eastAsia="楷体_GB2312" w:cs="黑体"/>
          <w:color w:val="auto"/>
          <w:sz w:val="40"/>
          <w:szCs w:val="40"/>
        </w:rPr>
      </w:pPr>
    </w:p>
    <w:p w14:paraId="2F0D1F3C">
      <w:pPr>
        <w:adjustRightInd w:val="0"/>
        <w:snapToGrid w:val="0"/>
        <w:spacing w:line="360" w:lineRule="auto"/>
        <w:jc w:val="center"/>
        <w:rPr>
          <w:rFonts w:ascii="楷体_GB2312" w:hAnsi="黑体" w:eastAsia="楷体_GB2312" w:cs="黑体"/>
          <w:color w:val="auto"/>
          <w:sz w:val="40"/>
          <w:szCs w:val="40"/>
        </w:rPr>
      </w:pPr>
    </w:p>
    <w:p w14:paraId="451B25CD">
      <w:pPr>
        <w:adjustRightInd w:val="0"/>
        <w:snapToGrid w:val="0"/>
        <w:spacing w:line="360" w:lineRule="auto"/>
        <w:jc w:val="center"/>
        <w:rPr>
          <w:rFonts w:ascii="楷体_GB2312" w:hAnsi="黑体" w:eastAsia="楷体_GB2312" w:cs="黑体"/>
          <w:color w:val="auto"/>
          <w:sz w:val="40"/>
          <w:szCs w:val="40"/>
        </w:rPr>
      </w:pPr>
    </w:p>
    <w:p w14:paraId="2B1F492E">
      <w:pPr>
        <w:adjustRightInd w:val="0"/>
        <w:snapToGrid w:val="0"/>
        <w:spacing w:line="360" w:lineRule="auto"/>
        <w:jc w:val="center"/>
        <w:rPr>
          <w:rFonts w:ascii="楷体_GB2312" w:hAnsi="黑体" w:eastAsia="楷体_GB2312" w:cs="黑体"/>
          <w:color w:val="auto"/>
          <w:sz w:val="40"/>
          <w:szCs w:val="40"/>
        </w:rPr>
      </w:pPr>
    </w:p>
    <w:p w14:paraId="65560585">
      <w:pPr>
        <w:adjustRightInd w:val="0"/>
        <w:snapToGrid w:val="0"/>
        <w:spacing w:line="360" w:lineRule="auto"/>
        <w:jc w:val="center"/>
        <w:rPr>
          <w:rFonts w:ascii="楷体_GB2312" w:hAnsi="黑体" w:eastAsia="楷体_GB2312" w:cs="黑体"/>
          <w:color w:val="auto"/>
          <w:sz w:val="40"/>
          <w:szCs w:val="40"/>
        </w:rPr>
      </w:pPr>
    </w:p>
    <w:p w14:paraId="2895992F">
      <w:pPr>
        <w:adjustRightInd w:val="0"/>
        <w:snapToGrid w:val="0"/>
        <w:spacing w:line="360" w:lineRule="auto"/>
        <w:jc w:val="center"/>
        <w:rPr>
          <w:rFonts w:ascii="楷体_GB2312" w:hAnsi="黑体" w:eastAsia="楷体_GB2312" w:cs="黑体"/>
          <w:color w:val="auto"/>
          <w:sz w:val="40"/>
          <w:szCs w:val="40"/>
        </w:rPr>
      </w:pPr>
    </w:p>
    <w:p w14:paraId="31E7BC74">
      <w:pPr>
        <w:adjustRightInd w:val="0"/>
        <w:snapToGrid w:val="0"/>
        <w:spacing w:line="360" w:lineRule="auto"/>
        <w:jc w:val="center"/>
        <w:rPr>
          <w:rFonts w:ascii="楷体_GB2312" w:hAnsi="黑体" w:eastAsia="楷体_GB2312" w:cs="黑体"/>
          <w:color w:val="auto"/>
          <w:sz w:val="40"/>
          <w:szCs w:val="40"/>
        </w:rPr>
      </w:pPr>
    </w:p>
    <w:p w14:paraId="7FDE8B3D">
      <w:pPr>
        <w:pStyle w:val="2"/>
      </w:pPr>
    </w:p>
    <w:p w14:paraId="13C6B631">
      <w:pPr>
        <w:adjustRightInd w:val="0"/>
        <w:snapToGrid w:val="0"/>
        <w:spacing w:line="360" w:lineRule="auto"/>
        <w:jc w:val="center"/>
        <w:rPr>
          <w:rFonts w:hint="eastAsia" w:ascii="楷体_GB2312" w:hAnsi="黑体" w:eastAsia="楷体_GB2312" w:cs="黑体"/>
          <w:color w:val="auto"/>
          <w:sz w:val="40"/>
          <w:szCs w:val="40"/>
        </w:rPr>
      </w:pPr>
      <w:r>
        <w:rPr>
          <w:rFonts w:hint="eastAsia" w:ascii="楷体_GB2312" w:hAnsi="黑体" w:eastAsia="楷体_GB2312" w:cs="黑体"/>
          <w:color w:val="auto"/>
          <w:sz w:val="40"/>
          <w:szCs w:val="40"/>
          <w:lang w:val="en-US" w:eastAsia="zh-CN"/>
        </w:rPr>
        <w:t>二〇二六</w:t>
      </w:r>
      <w:r>
        <w:rPr>
          <w:rFonts w:hint="eastAsia" w:ascii="楷体_GB2312" w:hAnsi="黑体" w:eastAsia="楷体_GB2312" w:cs="黑体"/>
          <w:color w:val="auto"/>
          <w:sz w:val="40"/>
          <w:szCs w:val="40"/>
        </w:rPr>
        <w:t>年</w:t>
      </w:r>
      <w:bookmarkStart w:id="76" w:name="_GoBack"/>
      <w:bookmarkEnd w:id="76"/>
    </w:p>
    <w:p w14:paraId="4E9570C9">
      <w:pPr>
        <w:pStyle w:val="12"/>
        <w:adjustRightInd w:val="0"/>
        <w:snapToGrid w:val="0"/>
        <w:spacing w:line="600" w:lineRule="exact"/>
        <w:ind w:firstLine="640" w:firstLineChars="200"/>
        <w:rPr>
          <w:rFonts w:hint="eastAsia" w:ascii="仿宋_GB2312" w:hAnsi="仿宋_GB2312" w:eastAsia="仿宋_GB2312" w:cs="仿宋_GB2312"/>
          <w:color w:val="auto"/>
          <w:sz w:val="32"/>
          <w:szCs w:val="32"/>
        </w:rPr>
        <w:sectPr>
          <w:headerReference r:id="rId4" w:type="default"/>
          <w:footerReference r:id="rId5" w:type="default"/>
          <w:footnotePr>
            <w:numFmt w:val="decimalEnclosedCircleChinese"/>
            <w:numRestart w:val="eachPage"/>
          </w:footnotePr>
          <w:pgSz w:w="11906" w:h="16838"/>
          <w:pgMar w:top="1440" w:right="1800" w:bottom="1440" w:left="1800" w:header="851" w:footer="992" w:gutter="0"/>
          <w:pgNumType w:fmt="numberInDash"/>
          <w:cols w:space="720" w:num="1"/>
          <w:titlePg/>
          <w:docGrid w:type="lines" w:linePitch="312" w:charSpace="0"/>
        </w:sectPr>
      </w:pPr>
    </w:p>
    <w:p w14:paraId="61EA8E92">
      <w:pPr>
        <w:rPr>
          <w:rFonts w:hint="eastAsia"/>
          <w:color w:val="auto"/>
          <w:lang w:val="en-US" w:eastAsia="zh-CN"/>
        </w:rPr>
        <w:sectPr>
          <w:footerReference r:id="rId6" w:type="default"/>
          <w:footnotePr>
            <w:numFmt w:val="decimalEnclosedCircleChinese"/>
            <w:numRestart w:val="eachPage"/>
          </w:footnotePr>
          <w:pgSz w:w="11906" w:h="16838"/>
          <w:pgMar w:top="1440" w:right="1800" w:bottom="1440" w:left="1800" w:header="851" w:footer="992" w:gutter="0"/>
          <w:pgNumType w:fmt="numberInDash" w:start="1"/>
          <w:cols w:space="720" w:num="1"/>
          <w:docGrid w:type="lines" w:linePitch="312" w:charSpace="0"/>
        </w:sectPr>
      </w:pPr>
    </w:p>
    <w:p w14:paraId="59B77558">
      <w:pPr>
        <w:pStyle w:val="41"/>
        <w:jc w:val="center"/>
        <w:rPr>
          <w:rFonts w:ascii="黑体" w:hAnsi="黑体" w:eastAsia="黑体"/>
          <w:color w:val="auto"/>
          <w:sz w:val="36"/>
          <w:szCs w:val="36"/>
          <w:lang w:val="zh-CN"/>
        </w:rPr>
      </w:pPr>
      <w:r>
        <w:rPr>
          <w:rFonts w:ascii="黑体" w:hAnsi="黑体" w:eastAsia="黑体"/>
          <w:color w:val="auto"/>
          <w:sz w:val="36"/>
          <w:szCs w:val="36"/>
          <w:lang w:val="zh-CN"/>
        </w:rPr>
        <w:t>目</w:t>
      </w:r>
      <w:r>
        <w:rPr>
          <w:rFonts w:hint="eastAsia" w:ascii="黑体" w:hAnsi="黑体" w:eastAsia="黑体"/>
          <w:color w:val="auto"/>
          <w:sz w:val="36"/>
          <w:szCs w:val="36"/>
          <w:lang w:val="zh-CN"/>
        </w:rPr>
        <w:t xml:space="preserve">  </w:t>
      </w:r>
      <w:r>
        <w:rPr>
          <w:rFonts w:ascii="黑体" w:hAnsi="黑体" w:eastAsia="黑体"/>
          <w:color w:val="auto"/>
          <w:sz w:val="36"/>
          <w:szCs w:val="36"/>
          <w:lang w:val="zh-CN"/>
        </w:rPr>
        <w:t>录</w:t>
      </w:r>
    </w:p>
    <w:p w14:paraId="0B8D7276">
      <w:pPr>
        <w:rPr>
          <w:rFonts w:hint="eastAsia"/>
          <w:color w:val="auto"/>
        </w:rPr>
      </w:pPr>
    </w:p>
    <w:p w14:paraId="679A601F">
      <w:pPr>
        <w:pStyle w:val="15"/>
        <w:tabs>
          <w:tab w:val="right" w:leader="dot" w:pos="8306"/>
        </w:tabs>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color w:val="auto"/>
          <w:sz w:val="32"/>
          <w:szCs w:val="32"/>
        </w:rPr>
        <w:instrText xml:space="preserve"> TOC \o "1-3" \h \z \u </w:instrText>
      </w:r>
      <w:r>
        <w:rPr>
          <w:rFonts w:hint="eastAsia" w:ascii="仿宋_GB2312" w:hAnsi="仿宋_GB2312" w:eastAsia="仿宋_GB2312" w:cs="仿宋_GB2312"/>
          <w:color w:val="auto"/>
          <w:sz w:val="32"/>
          <w:szCs w:val="32"/>
        </w:rPr>
        <w:fldChar w:fldCharType="separate"/>
      </w:r>
      <w:r>
        <w:rPr>
          <w:rFonts w:hint="eastAsia" w:ascii="仿宋_GB2312" w:hAnsi="仿宋_GB2312" w:eastAsia="仿宋_GB2312" w:cs="仿宋_GB2312"/>
          <w:color w:val="auto"/>
          <w:szCs w:val="32"/>
        </w:rPr>
        <w:fldChar w:fldCharType="begin"/>
      </w:r>
      <w:r>
        <w:rPr>
          <w:rFonts w:hint="eastAsia" w:ascii="仿宋_GB2312" w:hAnsi="仿宋_GB2312" w:eastAsia="仿宋_GB2312" w:cs="仿宋_GB2312"/>
          <w:szCs w:val="32"/>
        </w:rPr>
        <w:instrText xml:space="preserve"> HYPERLINK \l _Toc29277 </w:instrText>
      </w:r>
      <w:r>
        <w:rPr>
          <w:rFonts w:hint="eastAsia" w:ascii="仿宋_GB2312" w:hAnsi="仿宋_GB2312" w:eastAsia="仿宋_GB2312" w:cs="仿宋_GB2312"/>
          <w:szCs w:val="32"/>
        </w:rPr>
        <w:fldChar w:fldCharType="separate"/>
      </w:r>
      <w:r>
        <w:rPr>
          <w:rFonts w:hint="eastAsia" w:ascii="黑体" w:hAnsi="黑体" w:eastAsia="黑体"/>
          <w:bCs w:val="0"/>
          <w:szCs w:val="32"/>
        </w:rPr>
        <w:t>第一章 站在新起点，奋力谱写现代化强区建设新篇章</w:t>
      </w:r>
      <w:r>
        <w:tab/>
      </w:r>
      <w:r>
        <w:fldChar w:fldCharType="begin"/>
      </w:r>
      <w:r>
        <w:instrText xml:space="preserve"> PAGEREF _Toc29277 \h </w:instrText>
      </w:r>
      <w:r>
        <w:fldChar w:fldCharType="separate"/>
      </w:r>
      <w:r>
        <w:t>- 1 -</w:t>
      </w:r>
      <w:r>
        <w:fldChar w:fldCharType="end"/>
      </w:r>
      <w:r>
        <w:rPr>
          <w:rFonts w:hint="eastAsia" w:ascii="仿宋_GB2312" w:hAnsi="仿宋_GB2312" w:eastAsia="仿宋_GB2312" w:cs="仿宋_GB2312"/>
          <w:color w:val="auto"/>
          <w:szCs w:val="32"/>
        </w:rPr>
        <w:fldChar w:fldCharType="end"/>
      </w:r>
    </w:p>
    <w:p w14:paraId="71D9EA0F">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_Toc30030 </w:instrText>
      </w:r>
      <w:r>
        <w:rPr>
          <w:rFonts w:hint="eastAsia" w:ascii="仿宋_GB2312" w:hAnsi="仿宋_GB2312" w:eastAsia="仿宋_GB2312" w:cs="仿宋_GB2312"/>
          <w:bCs/>
          <w:szCs w:val="32"/>
          <w:lang w:val="zh-CN"/>
        </w:rPr>
        <w:fldChar w:fldCharType="separate"/>
      </w:r>
      <w:r>
        <w:rPr>
          <w:rFonts w:hint="eastAsia"/>
        </w:rPr>
        <w:t>第一节“十四五”时期跨越发展取得新突破</w:t>
      </w:r>
      <w:r>
        <w:tab/>
      </w:r>
      <w:r>
        <w:fldChar w:fldCharType="begin"/>
      </w:r>
      <w:r>
        <w:instrText xml:space="preserve"> PAGEREF _Toc30030 \h </w:instrText>
      </w:r>
      <w:r>
        <w:fldChar w:fldCharType="separate"/>
      </w:r>
      <w:r>
        <w:t>- 1 -</w:t>
      </w:r>
      <w:r>
        <w:fldChar w:fldCharType="end"/>
      </w:r>
      <w:r>
        <w:rPr>
          <w:rFonts w:hint="eastAsia" w:ascii="仿宋_GB2312" w:hAnsi="仿宋_GB2312" w:eastAsia="仿宋_GB2312" w:cs="仿宋_GB2312"/>
          <w:bCs/>
          <w:color w:val="auto"/>
          <w:szCs w:val="32"/>
          <w:lang w:val="zh-CN"/>
        </w:rPr>
        <w:fldChar w:fldCharType="end"/>
      </w:r>
    </w:p>
    <w:p w14:paraId="76F01107">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_Toc31056 </w:instrText>
      </w:r>
      <w:r>
        <w:rPr>
          <w:rFonts w:hint="eastAsia" w:ascii="仿宋_GB2312" w:hAnsi="仿宋_GB2312" w:eastAsia="仿宋_GB2312" w:cs="仿宋_GB2312"/>
          <w:bCs/>
          <w:szCs w:val="32"/>
          <w:lang w:val="zh-CN"/>
        </w:rPr>
        <w:fldChar w:fldCharType="separate"/>
      </w:r>
      <w:r>
        <w:rPr>
          <w:rFonts w:hint="eastAsia"/>
        </w:rPr>
        <w:t>第二节“十五五”时期面临新机遇新挑战</w:t>
      </w:r>
      <w:r>
        <w:tab/>
      </w:r>
      <w:r>
        <w:fldChar w:fldCharType="begin"/>
      </w:r>
      <w:r>
        <w:instrText xml:space="preserve"> PAGEREF _Toc31056 \h </w:instrText>
      </w:r>
      <w:r>
        <w:fldChar w:fldCharType="separate"/>
      </w:r>
      <w:r>
        <w:t>- 7 -</w:t>
      </w:r>
      <w:r>
        <w:fldChar w:fldCharType="end"/>
      </w:r>
      <w:r>
        <w:rPr>
          <w:rFonts w:hint="eastAsia" w:ascii="仿宋_GB2312" w:hAnsi="仿宋_GB2312" w:eastAsia="仿宋_GB2312" w:cs="仿宋_GB2312"/>
          <w:bCs/>
          <w:color w:val="auto"/>
          <w:szCs w:val="32"/>
          <w:lang w:val="zh-CN"/>
        </w:rPr>
        <w:fldChar w:fldCharType="end"/>
      </w:r>
    </w:p>
    <w:p w14:paraId="15EF344C">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_Toc13183 </w:instrText>
      </w:r>
      <w:r>
        <w:rPr>
          <w:rFonts w:hint="eastAsia" w:ascii="仿宋_GB2312" w:hAnsi="仿宋_GB2312" w:eastAsia="仿宋_GB2312" w:cs="仿宋_GB2312"/>
          <w:bCs/>
          <w:szCs w:val="32"/>
          <w:lang w:val="zh-CN"/>
        </w:rPr>
        <w:fldChar w:fldCharType="separate"/>
      </w:r>
      <w:r>
        <w:rPr>
          <w:rFonts w:hint="eastAsia"/>
        </w:rPr>
        <w:t>第三节“十五五”</w:t>
      </w:r>
      <w:r>
        <w:rPr>
          <w:rFonts w:hint="eastAsia"/>
          <w:lang w:val="en-US" w:eastAsia="zh-CN"/>
        </w:rPr>
        <w:t>时期</w:t>
      </w:r>
      <w:r>
        <w:rPr>
          <w:rFonts w:hint="eastAsia"/>
        </w:rPr>
        <w:t>经济社会发展的</w:t>
      </w:r>
      <w:r>
        <w:t>指导</w:t>
      </w:r>
      <w:r>
        <w:rPr>
          <w:rFonts w:hint="eastAsia"/>
        </w:rPr>
        <w:t>方针</w:t>
      </w:r>
      <w:r>
        <w:tab/>
      </w:r>
      <w:r>
        <w:fldChar w:fldCharType="begin"/>
      </w:r>
      <w:r>
        <w:instrText xml:space="preserve"> PAGEREF _Toc13183 \h </w:instrText>
      </w:r>
      <w:r>
        <w:fldChar w:fldCharType="separate"/>
      </w:r>
      <w:r>
        <w:t>- 9 -</w:t>
      </w:r>
      <w:r>
        <w:fldChar w:fldCharType="end"/>
      </w:r>
      <w:r>
        <w:rPr>
          <w:rFonts w:hint="eastAsia" w:ascii="仿宋_GB2312" w:hAnsi="仿宋_GB2312" w:eastAsia="仿宋_GB2312" w:cs="仿宋_GB2312"/>
          <w:bCs/>
          <w:color w:val="auto"/>
          <w:szCs w:val="32"/>
          <w:lang w:val="zh-CN"/>
        </w:rPr>
        <w:fldChar w:fldCharType="end"/>
      </w:r>
    </w:p>
    <w:p w14:paraId="5F87BB82">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_Toc11328 </w:instrText>
      </w:r>
      <w:r>
        <w:rPr>
          <w:rFonts w:hint="eastAsia" w:ascii="仿宋_GB2312" w:hAnsi="仿宋_GB2312" w:eastAsia="仿宋_GB2312" w:cs="仿宋_GB2312"/>
          <w:bCs/>
          <w:szCs w:val="32"/>
          <w:lang w:val="zh-CN"/>
        </w:rPr>
        <w:fldChar w:fldCharType="separate"/>
      </w:r>
      <w:r>
        <w:rPr>
          <w:rFonts w:hint="eastAsia" w:ascii="楷体_GB2312" w:hAnsi="楷体_GB2312" w:eastAsia="楷体_GB2312" w:cs="楷体_GB2312"/>
          <w:highlight w:val="none"/>
        </w:rPr>
        <w:t>第四节“十五五”</w:t>
      </w:r>
      <w:r>
        <w:rPr>
          <w:rFonts w:hint="eastAsia" w:ascii="楷体_GB2312" w:hAnsi="楷体_GB2312" w:eastAsia="楷体_GB2312" w:cs="楷体_GB2312"/>
          <w:highlight w:val="none"/>
          <w:lang w:val="en-US" w:eastAsia="zh-CN"/>
        </w:rPr>
        <w:t>时期</w:t>
      </w:r>
      <w:r>
        <w:rPr>
          <w:rFonts w:hint="eastAsia" w:ascii="楷体_GB2312" w:hAnsi="楷体_GB2312" w:eastAsia="楷体_GB2312" w:cs="楷体_GB2312"/>
          <w:highlight w:val="none"/>
        </w:rPr>
        <w:t>经济社会发展战略定位</w:t>
      </w:r>
      <w:r>
        <w:tab/>
      </w:r>
      <w:r>
        <w:fldChar w:fldCharType="begin"/>
      </w:r>
      <w:r>
        <w:instrText xml:space="preserve"> PAGEREF _Toc11328 \h </w:instrText>
      </w:r>
      <w:r>
        <w:fldChar w:fldCharType="separate"/>
      </w:r>
      <w:r>
        <w:t>- 11 -</w:t>
      </w:r>
      <w:r>
        <w:fldChar w:fldCharType="end"/>
      </w:r>
      <w:r>
        <w:rPr>
          <w:rFonts w:hint="eastAsia" w:ascii="仿宋_GB2312" w:hAnsi="仿宋_GB2312" w:eastAsia="仿宋_GB2312" w:cs="仿宋_GB2312"/>
          <w:bCs/>
          <w:color w:val="auto"/>
          <w:szCs w:val="32"/>
          <w:lang w:val="zh-CN"/>
        </w:rPr>
        <w:fldChar w:fldCharType="end"/>
      </w:r>
    </w:p>
    <w:p w14:paraId="1B39F8A1">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_Toc7743 </w:instrText>
      </w:r>
      <w:r>
        <w:rPr>
          <w:rFonts w:hint="eastAsia" w:ascii="仿宋_GB2312" w:hAnsi="仿宋_GB2312" w:eastAsia="仿宋_GB2312" w:cs="仿宋_GB2312"/>
          <w:bCs/>
          <w:szCs w:val="32"/>
          <w:lang w:val="zh-CN"/>
        </w:rPr>
        <w:fldChar w:fldCharType="separate"/>
      </w:r>
      <w:r>
        <w:rPr>
          <w:rFonts w:hint="eastAsia"/>
          <w:highlight w:val="none"/>
          <w:lang w:val="en-US" w:eastAsia="zh-CN"/>
        </w:rPr>
        <w:t>第五节</w:t>
      </w:r>
      <w:r>
        <w:rPr>
          <w:rFonts w:hint="eastAsia"/>
          <w:highlight w:val="none"/>
        </w:rPr>
        <w:t>“十五五”</w:t>
      </w:r>
      <w:r>
        <w:rPr>
          <w:rFonts w:hint="eastAsia"/>
          <w:highlight w:val="none"/>
          <w:lang w:val="en-US" w:eastAsia="zh-CN"/>
        </w:rPr>
        <w:t>时期</w:t>
      </w:r>
      <w:r>
        <w:rPr>
          <w:rFonts w:hint="eastAsia"/>
          <w:highlight w:val="none"/>
        </w:rPr>
        <w:t>经济社会发展的主要目标</w:t>
      </w:r>
      <w:r>
        <w:tab/>
      </w:r>
      <w:r>
        <w:fldChar w:fldCharType="begin"/>
      </w:r>
      <w:r>
        <w:instrText xml:space="preserve"> PAGEREF _Toc7743 \h </w:instrText>
      </w:r>
      <w:r>
        <w:fldChar w:fldCharType="separate"/>
      </w:r>
      <w:r>
        <w:t>- 13 -</w:t>
      </w:r>
      <w:r>
        <w:fldChar w:fldCharType="end"/>
      </w:r>
      <w:r>
        <w:rPr>
          <w:rFonts w:hint="eastAsia" w:ascii="仿宋_GB2312" w:hAnsi="仿宋_GB2312" w:eastAsia="仿宋_GB2312" w:cs="仿宋_GB2312"/>
          <w:bCs/>
          <w:color w:val="auto"/>
          <w:szCs w:val="32"/>
          <w:lang w:val="zh-CN"/>
        </w:rPr>
        <w:fldChar w:fldCharType="end"/>
      </w:r>
    </w:p>
    <w:p w14:paraId="6BE8AE34">
      <w:pPr>
        <w:pStyle w:val="15"/>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_Toc31976 </w:instrText>
      </w:r>
      <w:r>
        <w:rPr>
          <w:rFonts w:hint="eastAsia" w:ascii="仿宋_GB2312" w:hAnsi="仿宋_GB2312" w:eastAsia="仿宋_GB2312" w:cs="仿宋_GB2312"/>
          <w:bCs/>
          <w:szCs w:val="32"/>
          <w:lang w:val="zh-CN"/>
        </w:rPr>
        <w:fldChar w:fldCharType="separate"/>
      </w:r>
      <w:r>
        <w:rPr>
          <w:rFonts w:hint="eastAsia" w:ascii="黑体" w:hAnsi="黑体" w:eastAsia="黑体"/>
          <w:bCs w:val="0"/>
          <w:szCs w:val="32"/>
          <w:highlight w:val="none"/>
        </w:rPr>
        <w:t xml:space="preserve">第二章 </w:t>
      </w:r>
      <w:r>
        <w:rPr>
          <w:rFonts w:hint="eastAsia" w:ascii="黑体" w:hAnsi="黑体" w:eastAsia="黑体"/>
          <w:bCs w:val="0"/>
          <w:spacing w:val="-2"/>
          <w:szCs w:val="32"/>
          <w:highlight w:val="none"/>
        </w:rPr>
        <w:t>巩固壮大实体经济根基，加快构建现代化产业体系</w:t>
      </w:r>
      <w:r>
        <w:tab/>
      </w:r>
      <w:r>
        <w:fldChar w:fldCharType="begin"/>
      </w:r>
      <w:r>
        <w:instrText xml:space="preserve"> PAGEREF _Toc31976 \h </w:instrText>
      </w:r>
      <w:r>
        <w:fldChar w:fldCharType="separate"/>
      </w:r>
      <w:r>
        <w:t>- 16 -</w:t>
      </w:r>
      <w:r>
        <w:fldChar w:fldCharType="end"/>
      </w:r>
      <w:r>
        <w:rPr>
          <w:rFonts w:hint="eastAsia" w:ascii="仿宋_GB2312" w:hAnsi="仿宋_GB2312" w:eastAsia="仿宋_GB2312" w:cs="仿宋_GB2312"/>
          <w:bCs/>
          <w:color w:val="auto"/>
          <w:szCs w:val="32"/>
          <w:lang w:val="zh-CN"/>
        </w:rPr>
        <w:fldChar w:fldCharType="end"/>
      </w:r>
    </w:p>
    <w:p w14:paraId="29B38B04">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_Toc9901 </w:instrText>
      </w:r>
      <w:r>
        <w:rPr>
          <w:rFonts w:hint="eastAsia" w:ascii="仿宋_GB2312" w:hAnsi="仿宋_GB2312" w:eastAsia="仿宋_GB2312" w:cs="仿宋_GB2312"/>
          <w:bCs/>
          <w:szCs w:val="32"/>
          <w:lang w:val="zh-CN"/>
        </w:rPr>
        <w:fldChar w:fldCharType="separate"/>
      </w:r>
      <w:r>
        <w:rPr>
          <w:rFonts w:hint="eastAsia"/>
          <w:highlight w:val="none"/>
        </w:rPr>
        <w:t>第一节 塑强“锂机材纺纸”优势产业</w:t>
      </w:r>
      <w:r>
        <w:tab/>
      </w:r>
      <w:r>
        <w:fldChar w:fldCharType="begin"/>
      </w:r>
      <w:r>
        <w:instrText xml:space="preserve"> PAGEREF _Toc9901 \h </w:instrText>
      </w:r>
      <w:r>
        <w:fldChar w:fldCharType="separate"/>
      </w:r>
      <w:r>
        <w:t>- 16 -</w:t>
      </w:r>
      <w:r>
        <w:fldChar w:fldCharType="end"/>
      </w:r>
      <w:r>
        <w:rPr>
          <w:rFonts w:hint="eastAsia" w:ascii="仿宋_GB2312" w:hAnsi="仿宋_GB2312" w:eastAsia="仿宋_GB2312" w:cs="仿宋_GB2312"/>
          <w:bCs/>
          <w:color w:val="auto"/>
          <w:szCs w:val="32"/>
          <w:lang w:val="zh-CN"/>
        </w:rPr>
        <w:fldChar w:fldCharType="end"/>
      </w:r>
    </w:p>
    <w:p w14:paraId="79D2DA07">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_Toc27917 </w:instrText>
      </w:r>
      <w:r>
        <w:rPr>
          <w:rFonts w:hint="eastAsia" w:ascii="仿宋_GB2312" w:hAnsi="仿宋_GB2312" w:eastAsia="仿宋_GB2312" w:cs="仿宋_GB2312"/>
          <w:bCs/>
          <w:szCs w:val="32"/>
          <w:lang w:val="zh-CN"/>
        </w:rPr>
        <w:fldChar w:fldCharType="separate"/>
      </w:r>
      <w:r>
        <w:rPr>
          <w:rFonts w:hint="eastAsia"/>
          <w:highlight w:val="none"/>
        </w:rPr>
        <w:t>第二节 培育壮大新兴产业和未来产业</w:t>
      </w:r>
      <w:r>
        <w:tab/>
      </w:r>
      <w:r>
        <w:fldChar w:fldCharType="begin"/>
      </w:r>
      <w:r>
        <w:instrText xml:space="preserve"> PAGEREF _Toc27917 \h </w:instrText>
      </w:r>
      <w:r>
        <w:fldChar w:fldCharType="separate"/>
      </w:r>
      <w:r>
        <w:t>- 19 -</w:t>
      </w:r>
      <w:r>
        <w:fldChar w:fldCharType="end"/>
      </w:r>
      <w:r>
        <w:rPr>
          <w:rFonts w:hint="eastAsia" w:ascii="仿宋_GB2312" w:hAnsi="仿宋_GB2312" w:eastAsia="仿宋_GB2312" w:cs="仿宋_GB2312"/>
          <w:bCs/>
          <w:color w:val="auto"/>
          <w:szCs w:val="32"/>
          <w:lang w:val="zh-CN"/>
        </w:rPr>
        <w:fldChar w:fldCharType="end"/>
      </w:r>
    </w:p>
    <w:p w14:paraId="1FA332AC">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_Toc20499 </w:instrText>
      </w:r>
      <w:r>
        <w:rPr>
          <w:rFonts w:hint="eastAsia" w:ascii="仿宋_GB2312" w:hAnsi="仿宋_GB2312" w:eastAsia="仿宋_GB2312" w:cs="仿宋_GB2312"/>
          <w:bCs/>
          <w:szCs w:val="32"/>
          <w:lang w:val="zh-CN"/>
        </w:rPr>
        <w:fldChar w:fldCharType="separate"/>
      </w:r>
      <w:r>
        <w:rPr>
          <w:rFonts w:hint="eastAsia"/>
          <w:highlight w:val="none"/>
        </w:rPr>
        <w:t>第三节 加快发展现代服务业</w:t>
      </w:r>
      <w:r>
        <w:tab/>
      </w:r>
      <w:r>
        <w:fldChar w:fldCharType="begin"/>
      </w:r>
      <w:r>
        <w:instrText xml:space="preserve"> PAGEREF _Toc20499 \h </w:instrText>
      </w:r>
      <w:r>
        <w:fldChar w:fldCharType="separate"/>
      </w:r>
      <w:r>
        <w:t>- 22 -</w:t>
      </w:r>
      <w:r>
        <w:fldChar w:fldCharType="end"/>
      </w:r>
      <w:r>
        <w:rPr>
          <w:rFonts w:hint="eastAsia" w:ascii="仿宋_GB2312" w:hAnsi="仿宋_GB2312" w:eastAsia="仿宋_GB2312" w:cs="仿宋_GB2312"/>
          <w:bCs/>
          <w:color w:val="auto"/>
          <w:szCs w:val="32"/>
          <w:lang w:val="zh-CN"/>
        </w:rPr>
        <w:fldChar w:fldCharType="end"/>
      </w:r>
    </w:p>
    <w:p w14:paraId="491C090C">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_Toc16642 </w:instrText>
      </w:r>
      <w:r>
        <w:rPr>
          <w:rFonts w:hint="eastAsia" w:ascii="仿宋_GB2312" w:hAnsi="仿宋_GB2312" w:eastAsia="仿宋_GB2312" w:cs="仿宋_GB2312"/>
          <w:bCs/>
          <w:szCs w:val="32"/>
          <w:lang w:val="zh-CN"/>
        </w:rPr>
        <w:fldChar w:fldCharType="separate"/>
      </w:r>
      <w:r>
        <w:rPr>
          <w:rFonts w:hint="eastAsia"/>
          <w:highlight w:val="none"/>
        </w:rPr>
        <w:t>第四节 持续深化“数转智改”</w:t>
      </w:r>
      <w:r>
        <w:tab/>
      </w:r>
      <w:r>
        <w:fldChar w:fldCharType="begin"/>
      </w:r>
      <w:r>
        <w:instrText xml:space="preserve"> PAGEREF _Toc16642 \h </w:instrText>
      </w:r>
      <w:r>
        <w:fldChar w:fldCharType="separate"/>
      </w:r>
      <w:r>
        <w:t>- 24 -</w:t>
      </w:r>
      <w:r>
        <w:fldChar w:fldCharType="end"/>
      </w:r>
      <w:r>
        <w:rPr>
          <w:rFonts w:hint="eastAsia" w:ascii="仿宋_GB2312" w:hAnsi="仿宋_GB2312" w:eastAsia="仿宋_GB2312" w:cs="仿宋_GB2312"/>
          <w:bCs/>
          <w:color w:val="auto"/>
          <w:szCs w:val="32"/>
          <w:lang w:val="zh-CN"/>
        </w:rPr>
        <w:fldChar w:fldCharType="end"/>
      </w:r>
    </w:p>
    <w:p w14:paraId="64CF79EC">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_Toc10974 </w:instrText>
      </w:r>
      <w:r>
        <w:rPr>
          <w:rFonts w:hint="eastAsia" w:ascii="仿宋_GB2312" w:hAnsi="仿宋_GB2312" w:eastAsia="仿宋_GB2312" w:cs="仿宋_GB2312"/>
          <w:bCs/>
          <w:szCs w:val="32"/>
          <w:lang w:val="zh-CN"/>
        </w:rPr>
        <w:fldChar w:fldCharType="separate"/>
      </w:r>
      <w:r>
        <w:rPr>
          <w:rFonts w:hint="eastAsia"/>
          <w:highlight w:val="none"/>
        </w:rPr>
        <w:t>第</w:t>
      </w:r>
      <w:r>
        <w:rPr>
          <w:rFonts w:hint="eastAsia"/>
          <w:highlight w:val="none"/>
          <w:lang w:val="en-US" w:eastAsia="zh-CN"/>
        </w:rPr>
        <w:t>五</w:t>
      </w:r>
      <w:r>
        <w:rPr>
          <w:rFonts w:hint="eastAsia"/>
          <w:highlight w:val="none"/>
        </w:rPr>
        <w:t>节 推动园区经济提质增效</w:t>
      </w:r>
      <w:r>
        <w:tab/>
      </w:r>
      <w:r>
        <w:fldChar w:fldCharType="begin"/>
      </w:r>
      <w:r>
        <w:instrText xml:space="preserve"> PAGEREF _Toc10974 \h </w:instrText>
      </w:r>
      <w:r>
        <w:fldChar w:fldCharType="separate"/>
      </w:r>
      <w:r>
        <w:t>- 26 -</w:t>
      </w:r>
      <w:r>
        <w:fldChar w:fldCharType="end"/>
      </w:r>
      <w:r>
        <w:rPr>
          <w:rFonts w:hint="eastAsia" w:ascii="仿宋_GB2312" w:hAnsi="仿宋_GB2312" w:eastAsia="仿宋_GB2312" w:cs="仿宋_GB2312"/>
          <w:bCs/>
          <w:color w:val="auto"/>
          <w:szCs w:val="32"/>
          <w:lang w:val="zh-CN"/>
        </w:rPr>
        <w:fldChar w:fldCharType="end"/>
      </w:r>
    </w:p>
    <w:p w14:paraId="2313F6A3">
      <w:pPr>
        <w:pStyle w:val="15"/>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_Toc22338 </w:instrText>
      </w:r>
      <w:r>
        <w:rPr>
          <w:rFonts w:hint="eastAsia" w:ascii="仿宋_GB2312" w:hAnsi="仿宋_GB2312" w:eastAsia="仿宋_GB2312" w:cs="仿宋_GB2312"/>
          <w:bCs/>
          <w:szCs w:val="32"/>
          <w:lang w:val="zh-CN"/>
        </w:rPr>
        <w:fldChar w:fldCharType="separate"/>
      </w:r>
      <w:r>
        <w:rPr>
          <w:rFonts w:hint="eastAsia" w:ascii="黑体" w:hAnsi="黑体" w:eastAsia="黑体"/>
          <w:bCs w:val="0"/>
          <w:szCs w:val="32"/>
          <w:highlight w:val="none"/>
        </w:rPr>
        <w:t>第三章 突出科技与产业融合，引领发展新质生产力</w:t>
      </w:r>
      <w:r>
        <w:tab/>
      </w:r>
      <w:r>
        <w:fldChar w:fldCharType="begin"/>
      </w:r>
      <w:r>
        <w:instrText xml:space="preserve"> PAGEREF _Toc22338 \h </w:instrText>
      </w:r>
      <w:r>
        <w:fldChar w:fldCharType="separate"/>
      </w:r>
      <w:r>
        <w:t>- 28 -</w:t>
      </w:r>
      <w:r>
        <w:fldChar w:fldCharType="end"/>
      </w:r>
      <w:r>
        <w:rPr>
          <w:rFonts w:hint="eastAsia" w:ascii="仿宋_GB2312" w:hAnsi="仿宋_GB2312" w:eastAsia="仿宋_GB2312" w:cs="仿宋_GB2312"/>
          <w:bCs/>
          <w:color w:val="auto"/>
          <w:szCs w:val="32"/>
          <w:lang w:val="zh-CN"/>
        </w:rPr>
        <w:fldChar w:fldCharType="end"/>
      </w:r>
    </w:p>
    <w:p w14:paraId="494F5216">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_Toc29783 </w:instrText>
      </w:r>
      <w:r>
        <w:rPr>
          <w:rFonts w:hint="eastAsia" w:ascii="仿宋_GB2312" w:hAnsi="仿宋_GB2312" w:eastAsia="仿宋_GB2312" w:cs="仿宋_GB2312"/>
          <w:bCs/>
          <w:szCs w:val="32"/>
          <w:lang w:val="zh-CN"/>
        </w:rPr>
        <w:fldChar w:fldCharType="separate"/>
      </w:r>
      <w:r>
        <w:rPr>
          <w:rFonts w:hint="eastAsia"/>
          <w:highlight w:val="none"/>
        </w:rPr>
        <w:t>第一节 建强高能级创新平台</w:t>
      </w:r>
      <w:r>
        <w:tab/>
      </w:r>
      <w:r>
        <w:fldChar w:fldCharType="begin"/>
      </w:r>
      <w:r>
        <w:instrText xml:space="preserve"> PAGEREF _Toc29783 \h </w:instrText>
      </w:r>
      <w:r>
        <w:fldChar w:fldCharType="separate"/>
      </w:r>
      <w:r>
        <w:t>- 28 -</w:t>
      </w:r>
      <w:r>
        <w:fldChar w:fldCharType="end"/>
      </w:r>
      <w:r>
        <w:rPr>
          <w:rFonts w:hint="eastAsia" w:ascii="仿宋_GB2312" w:hAnsi="仿宋_GB2312" w:eastAsia="仿宋_GB2312" w:cs="仿宋_GB2312"/>
          <w:bCs/>
          <w:color w:val="auto"/>
          <w:szCs w:val="32"/>
          <w:lang w:val="zh-CN"/>
        </w:rPr>
        <w:fldChar w:fldCharType="end"/>
      </w:r>
    </w:p>
    <w:p w14:paraId="67FC90A9">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_Toc21957 </w:instrText>
      </w:r>
      <w:r>
        <w:rPr>
          <w:rFonts w:hint="eastAsia" w:ascii="仿宋_GB2312" w:hAnsi="仿宋_GB2312" w:eastAsia="仿宋_GB2312" w:cs="仿宋_GB2312"/>
          <w:bCs/>
          <w:szCs w:val="32"/>
          <w:lang w:val="zh-CN"/>
        </w:rPr>
        <w:fldChar w:fldCharType="separate"/>
      </w:r>
      <w:r>
        <w:rPr>
          <w:rFonts w:hint="eastAsia"/>
          <w:highlight w:val="none"/>
        </w:rPr>
        <w:t>第二节 培育科技型企业矩阵</w:t>
      </w:r>
      <w:r>
        <w:tab/>
      </w:r>
      <w:r>
        <w:fldChar w:fldCharType="begin"/>
      </w:r>
      <w:r>
        <w:instrText xml:space="preserve"> PAGEREF _Toc21957 \h </w:instrText>
      </w:r>
      <w:r>
        <w:fldChar w:fldCharType="separate"/>
      </w:r>
      <w:r>
        <w:t>- 30 -</w:t>
      </w:r>
      <w:r>
        <w:fldChar w:fldCharType="end"/>
      </w:r>
      <w:r>
        <w:rPr>
          <w:rFonts w:hint="eastAsia" w:ascii="仿宋_GB2312" w:hAnsi="仿宋_GB2312" w:eastAsia="仿宋_GB2312" w:cs="仿宋_GB2312"/>
          <w:bCs/>
          <w:color w:val="auto"/>
          <w:szCs w:val="32"/>
          <w:lang w:val="zh-CN"/>
        </w:rPr>
        <w:fldChar w:fldCharType="end"/>
      </w:r>
    </w:p>
    <w:p w14:paraId="0B4FC153">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_Toc26918 </w:instrText>
      </w:r>
      <w:r>
        <w:rPr>
          <w:rFonts w:hint="eastAsia" w:ascii="仿宋_GB2312" w:hAnsi="仿宋_GB2312" w:eastAsia="仿宋_GB2312" w:cs="仿宋_GB2312"/>
          <w:bCs/>
          <w:szCs w:val="32"/>
          <w:lang w:val="zh-CN"/>
        </w:rPr>
        <w:fldChar w:fldCharType="separate"/>
      </w:r>
      <w:r>
        <w:rPr>
          <w:rFonts w:hint="eastAsia"/>
          <w:highlight w:val="none"/>
        </w:rPr>
        <w:t>第三节 打造特色人才高地</w:t>
      </w:r>
      <w:r>
        <w:tab/>
      </w:r>
      <w:r>
        <w:fldChar w:fldCharType="begin"/>
      </w:r>
      <w:r>
        <w:instrText xml:space="preserve"> PAGEREF _Toc26918 \h </w:instrText>
      </w:r>
      <w:r>
        <w:fldChar w:fldCharType="separate"/>
      </w:r>
      <w:r>
        <w:t>- 31 -</w:t>
      </w:r>
      <w:r>
        <w:fldChar w:fldCharType="end"/>
      </w:r>
      <w:r>
        <w:rPr>
          <w:rFonts w:hint="eastAsia" w:ascii="仿宋_GB2312" w:hAnsi="仿宋_GB2312" w:eastAsia="仿宋_GB2312" w:cs="仿宋_GB2312"/>
          <w:bCs/>
          <w:color w:val="auto"/>
          <w:szCs w:val="32"/>
          <w:lang w:val="zh-CN"/>
        </w:rPr>
        <w:fldChar w:fldCharType="end"/>
      </w:r>
    </w:p>
    <w:p w14:paraId="5378FD62">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_Toc8948 </w:instrText>
      </w:r>
      <w:r>
        <w:rPr>
          <w:rFonts w:hint="eastAsia" w:ascii="仿宋_GB2312" w:hAnsi="仿宋_GB2312" w:eastAsia="仿宋_GB2312" w:cs="仿宋_GB2312"/>
          <w:bCs/>
          <w:szCs w:val="32"/>
          <w:lang w:val="zh-CN"/>
        </w:rPr>
        <w:fldChar w:fldCharType="separate"/>
      </w:r>
      <w:r>
        <w:rPr>
          <w:rFonts w:hint="eastAsia"/>
          <w:highlight w:val="none"/>
        </w:rPr>
        <w:t>第四节 打造良好科创生态</w:t>
      </w:r>
      <w:r>
        <w:tab/>
      </w:r>
      <w:r>
        <w:fldChar w:fldCharType="begin"/>
      </w:r>
      <w:r>
        <w:instrText xml:space="preserve"> PAGEREF _Toc8948 \h </w:instrText>
      </w:r>
      <w:r>
        <w:fldChar w:fldCharType="separate"/>
      </w:r>
      <w:r>
        <w:t>- 33 -</w:t>
      </w:r>
      <w:r>
        <w:fldChar w:fldCharType="end"/>
      </w:r>
      <w:r>
        <w:rPr>
          <w:rFonts w:hint="eastAsia" w:ascii="仿宋_GB2312" w:hAnsi="仿宋_GB2312" w:eastAsia="仿宋_GB2312" w:cs="仿宋_GB2312"/>
          <w:bCs/>
          <w:color w:val="auto"/>
          <w:szCs w:val="32"/>
          <w:lang w:val="zh-CN"/>
        </w:rPr>
        <w:fldChar w:fldCharType="end"/>
      </w:r>
    </w:p>
    <w:p w14:paraId="11CBE35D">
      <w:pPr>
        <w:pStyle w:val="15"/>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_Toc2276 </w:instrText>
      </w:r>
      <w:r>
        <w:rPr>
          <w:rFonts w:hint="eastAsia" w:ascii="仿宋_GB2312" w:hAnsi="仿宋_GB2312" w:eastAsia="仿宋_GB2312" w:cs="仿宋_GB2312"/>
          <w:bCs/>
          <w:szCs w:val="32"/>
          <w:lang w:val="zh-CN"/>
        </w:rPr>
        <w:fldChar w:fldCharType="separate"/>
      </w:r>
      <w:r>
        <w:rPr>
          <w:rFonts w:hint="eastAsia" w:ascii="黑体" w:hAnsi="黑体" w:eastAsia="黑体"/>
          <w:bCs w:val="0"/>
          <w:szCs w:val="32"/>
          <w:highlight w:val="none"/>
        </w:rPr>
        <w:t>第四章 突出内需动力作用，激活投资消费“双引擎”</w:t>
      </w:r>
      <w:r>
        <w:tab/>
      </w:r>
      <w:r>
        <w:fldChar w:fldCharType="begin"/>
      </w:r>
      <w:r>
        <w:instrText xml:space="preserve"> PAGEREF _Toc2276 \h </w:instrText>
      </w:r>
      <w:r>
        <w:fldChar w:fldCharType="separate"/>
      </w:r>
      <w:r>
        <w:t>- 36 -</w:t>
      </w:r>
      <w:r>
        <w:fldChar w:fldCharType="end"/>
      </w:r>
      <w:r>
        <w:rPr>
          <w:rFonts w:hint="eastAsia" w:ascii="仿宋_GB2312" w:hAnsi="仿宋_GB2312" w:eastAsia="仿宋_GB2312" w:cs="仿宋_GB2312"/>
          <w:bCs/>
          <w:color w:val="auto"/>
          <w:szCs w:val="32"/>
          <w:lang w:val="zh-CN"/>
        </w:rPr>
        <w:fldChar w:fldCharType="end"/>
      </w:r>
    </w:p>
    <w:p w14:paraId="58FC8635">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_Toc3959 </w:instrText>
      </w:r>
      <w:r>
        <w:rPr>
          <w:rFonts w:hint="eastAsia" w:ascii="仿宋_GB2312" w:hAnsi="仿宋_GB2312" w:eastAsia="仿宋_GB2312" w:cs="仿宋_GB2312"/>
          <w:bCs/>
          <w:szCs w:val="32"/>
          <w:lang w:val="zh-CN"/>
        </w:rPr>
        <w:fldChar w:fldCharType="separate"/>
      </w:r>
      <w:r>
        <w:rPr>
          <w:rFonts w:hint="eastAsia"/>
          <w:highlight w:val="none"/>
        </w:rPr>
        <w:t>第一节 推动消费扩容升级</w:t>
      </w:r>
      <w:r>
        <w:tab/>
      </w:r>
      <w:r>
        <w:fldChar w:fldCharType="begin"/>
      </w:r>
      <w:r>
        <w:instrText xml:space="preserve"> PAGEREF _Toc3959 \h </w:instrText>
      </w:r>
      <w:r>
        <w:fldChar w:fldCharType="separate"/>
      </w:r>
      <w:r>
        <w:t>- 36 -</w:t>
      </w:r>
      <w:r>
        <w:fldChar w:fldCharType="end"/>
      </w:r>
      <w:r>
        <w:rPr>
          <w:rFonts w:hint="eastAsia" w:ascii="仿宋_GB2312" w:hAnsi="仿宋_GB2312" w:eastAsia="仿宋_GB2312" w:cs="仿宋_GB2312"/>
          <w:bCs/>
          <w:color w:val="auto"/>
          <w:szCs w:val="32"/>
          <w:lang w:val="zh-CN"/>
        </w:rPr>
        <w:fldChar w:fldCharType="end"/>
      </w:r>
    </w:p>
    <w:p w14:paraId="10AB8372">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_Toc15176 </w:instrText>
      </w:r>
      <w:r>
        <w:rPr>
          <w:rFonts w:hint="eastAsia" w:ascii="仿宋_GB2312" w:hAnsi="仿宋_GB2312" w:eastAsia="仿宋_GB2312" w:cs="仿宋_GB2312"/>
          <w:bCs/>
          <w:szCs w:val="32"/>
          <w:lang w:val="zh-CN"/>
        </w:rPr>
        <w:fldChar w:fldCharType="separate"/>
      </w:r>
      <w:r>
        <w:rPr>
          <w:rFonts w:hint="eastAsia"/>
          <w:highlight w:val="none"/>
        </w:rPr>
        <w:t>第二节 加力扩大有效投资</w:t>
      </w:r>
      <w:r>
        <w:tab/>
      </w:r>
      <w:r>
        <w:fldChar w:fldCharType="begin"/>
      </w:r>
      <w:r>
        <w:instrText xml:space="preserve"> PAGEREF _Toc15176 \h </w:instrText>
      </w:r>
      <w:r>
        <w:fldChar w:fldCharType="separate"/>
      </w:r>
      <w:r>
        <w:t>- 38 -</w:t>
      </w:r>
      <w:r>
        <w:fldChar w:fldCharType="end"/>
      </w:r>
      <w:r>
        <w:rPr>
          <w:rFonts w:hint="eastAsia" w:ascii="仿宋_GB2312" w:hAnsi="仿宋_GB2312" w:eastAsia="仿宋_GB2312" w:cs="仿宋_GB2312"/>
          <w:bCs/>
          <w:color w:val="auto"/>
          <w:szCs w:val="32"/>
          <w:lang w:val="zh-CN"/>
        </w:rPr>
        <w:fldChar w:fldCharType="end"/>
      </w:r>
    </w:p>
    <w:p w14:paraId="0FB906F1">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_Toc32554 </w:instrText>
      </w:r>
      <w:r>
        <w:rPr>
          <w:rFonts w:hint="eastAsia" w:ascii="仿宋_GB2312" w:hAnsi="仿宋_GB2312" w:eastAsia="仿宋_GB2312" w:cs="仿宋_GB2312"/>
          <w:bCs/>
          <w:szCs w:val="32"/>
          <w:lang w:val="zh-CN"/>
        </w:rPr>
        <w:fldChar w:fldCharType="separate"/>
      </w:r>
      <w:r>
        <w:rPr>
          <w:rFonts w:hint="eastAsia"/>
          <w:highlight w:val="none"/>
        </w:rPr>
        <w:t>第三节 构建现代流通体系</w:t>
      </w:r>
      <w:r>
        <w:tab/>
      </w:r>
      <w:r>
        <w:fldChar w:fldCharType="begin"/>
      </w:r>
      <w:r>
        <w:instrText xml:space="preserve"> PAGEREF _Toc32554 \h </w:instrText>
      </w:r>
      <w:r>
        <w:fldChar w:fldCharType="separate"/>
      </w:r>
      <w:r>
        <w:t>- 40 -</w:t>
      </w:r>
      <w:r>
        <w:fldChar w:fldCharType="end"/>
      </w:r>
      <w:r>
        <w:rPr>
          <w:rFonts w:hint="eastAsia" w:ascii="仿宋_GB2312" w:hAnsi="仿宋_GB2312" w:eastAsia="仿宋_GB2312" w:cs="仿宋_GB2312"/>
          <w:bCs/>
          <w:color w:val="auto"/>
          <w:szCs w:val="32"/>
          <w:lang w:val="zh-CN"/>
        </w:rPr>
        <w:fldChar w:fldCharType="end"/>
      </w:r>
    </w:p>
    <w:p w14:paraId="3D536B85">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_Toc2995 </w:instrText>
      </w:r>
      <w:r>
        <w:rPr>
          <w:rFonts w:hint="eastAsia" w:ascii="仿宋_GB2312" w:hAnsi="仿宋_GB2312" w:eastAsia="仿宋_GB2312" w:cs="仿宋_GB2312"/>
          <w:bCs/>
          <w:szCs w:val="32"/>
          <w:lang w:val="zh-CN"/>
        </w:rPr>
        <w:fldChar w:fldCharType="separate"/>
      </w:r>
      <w:r>
        <w:rPr>
          <w:rFonts w:hint="eastAsia"/>
          <w:highlight w:val="none"/>
        </w:rPr>
        <w:t>第四节 优化立体交通网络</w:t>
      </w:r>
      <w:r>
        <w:tab/>
      </w:r>
      <w:r>
        <w:fldChar w:fldCharType="begin"/>
      </w:r>
      <w:r>
        <w:instrText xml:space="preserve"> PAGEREF _Toc2995 \h </w:instrText>
      </w:r>
      <w:r>
        <w:fldChar w:fldCharType="separate"/>
      </w:r>
      <w:r>
        <w:t>- 42 -</w:t>
      </w:r>
      <w:r>
        <w:fldChar w:fldCharType="end"/>
      </w:r>
      <w:r>
        <w:rPr>
          <w:rFonts w:hint="eastAsia" w:ascii="仿宋_GB2312" w:hAnsi="仿宋_GB2312" w:eastAsia="仿宋_GB2312" w:cs="仿宋_GB2312"/>
          <w:bCs/>
          <w:color w:val="auto"/>
          <w:szCs w:val="32"/>
          <w:lang w:val="zh-CN"/>
        </w:rPr>
        <w:fldChar w:fldCharType="end"/>
      </w:r>
    </w:p>
    <w:p w14:paraId="5FD01435">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_Toc4859 </w:instrText>
      </w:r>
      <w:r>
        <w:rPr>
          <w:rFonts w:hint="eastAsia" w:ascii="仿宋_GB2312" w:hAnsi="仿宋_GB2312" w:eastAsia="仿宋_GB2312" w:cs="仿宋_GB2312"/>
          <w:bCs/>
          <w:szCs w:val="32"/>
          <w:lang w:val="zh-CN"/>
        </w:rPr>
        <w:fldChar w:fldCharType="separate"/>
      </w:r>
      <w:r>
        <w:rPr>
          <w:rFonts w:hint="eastAsia"/>
          <w:highlight w:val="none"/>
        </w:rPr>
        <w:t>第五节 建设现代化水网体系</w:t>
      </w:r>
      <w:r>
        <w:tab/>
      </w:r>
      <w:r>
        <w:fldChar w:fldCharType="begin"/>
      </w:r>
      <w:r>
        <w:instrText xml:space="preserve"> PAGEREF _Toc4859 \h </w:instrText>
      </w:r>
      <w:r>
        <w:fldChar w:fldCharType="separate"/>
      </w:r>
      <w:r>
        <w:t>- 43 -</w:t>
      </w:r>
      <w:r>
        <w:fldChar w:fldCharType="end"/>
      </w:r>
      <w:r>
        <w:rPr>
          <w:rFonts w:hint="eastAsia" w:ascii="仿宋_GB2312" w:hAnsi="仿宋_GB2312" w:eastAsia="仿宋_GB2312" w:cs="仿宋_GB2312"/>
          <w:bCs/>
          <w:color w:val="auto"/>
          <w:szCs w:val="32"/>
          <w:lang w:val="zh-CN"/>
        </w:rPr>
        <w:fldChar w:fldCharType="end"/>
      </w:r>
    </w:p>
    <w:p w14:paraId="780E5C9A">
      <w:pPr>
        <w:pStyle w:val="15"/>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_Toc5673 </w:instrText>
      </w:r>
      <w:r>
        <w:rPr>
          <w:rFonts w:hint="eastAsia" w:ascii="仿宋_GB2312" w:hAnsi="仿宋_GB2312" w:eastAsia="仿宋_GB2312" w:cs="仿宋_GB2312"/>
          <w:bCs/>
          <w:szCs w:val="32"/>
          <w:lang w:val="zh-CN"/>
        </w:rPr>
        <w:fldChar w:fldCharType="separate"/>
      </w:r>
      <w:r>
        <w:rPr>
          <w:rFonts w:hint="eastAsia" w:ascii="黑体" w:hAnsi="黑体" w:eastAsia="黑体"/>
          <w:bCs w:val="0"/>
          <w:szCs w:val="32"/>
          <w:highlight w:val="none"/>
        </w:rPr>
        <w:t>第五章 突出城市高质量发展，建设现代化人民城市</w:t>
      </w:r>
      <w:r>
        <w:tab/>
      </w:r>
      <w:r>
        <w:fldChar w:fldCharType="begin"/>
      </w:r>
      <w:r>
        <w:instrText xml:space="preserve"> PAGEREF _Toc5673 \h </w:instrText>
      </w:r>
      <w:r>
        <w:fldChar w:fldCharType="separate"/>
      </w:r>
      <w:r>
        <w:t>- 46 -</w:t>
      </w:r>
      <w:r>
        <w:fldChar w:fldCharType="end"/>
      </w:r>
      <w:r>
        <w:rPr>
          <w:rFonts w:hint="eastAsia" w:ascii="仿宋_GB2312" w:hAnsi="仿宋_GB2312" w:eastAsia="仿宋_GB2312" w:cs="仿宋_GB2312"/>
          <w:bCs/>
          <w:color w:val="auto"/>
          <w:szCs w:val="32"/>
          <w:lang w:val="zh-CN"/>
        </w:rPr>
        <w:fldChar w:fldCharType="end"/>
      </w:r>
    </w:p>
    <w:p w14:paraId="6FAA7973">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_Toc8836 </w:instrText>
      </w:r>
      <w:r>
        <w:rPr>
          <w:rFonts w:hint="eastAsia" w:ascii="仿宋_GB2312" w:hAnsi="仿宋_GB2312" w:eastAsia="仿宋_GB2312" w:cs="仿宋_GB2312"/>
          <w:bCs/>
          <w:szCs w:val="32"/>
          <w:lang w:val="zh-CN"/>
        </w:rPr>
        <w:fldChar w:fldCharType="separate"/>
      </w:r>
      <w:r>
        <w:rPr>
          <w:rFonts w:hint="eastAsia"/>
          <w:highlight w:val="none"/>
        </w:rPr>
        <w:t>第一节 做大做强中心城区</w:t>
      </w:r>
      <w:r>
        <w:tab/>
      </w:r>
      <w:r>
        <w:fldChar w:fldCharType="begin"/>
      </w:r>
      <w:r>
        <w:instrText xml:space="preserve"> PAGEREF _Toc8836 \h </w:instrText>
      </w:r>
      <w:r>
        <w:fldChar w:fldCharType="separate"/>
      </w:r>
      <w:r>
        <w:t>- 46 -</w:t>
      </w:r>
      <w:r>
        <w:fldChar w:fldCharType="end"/>
      </w:r>
      <w:r>
        <w:rPr>
          <w:rFonts w:hint="eastAsia" w:ascii="仿宋_GB2312" w:hAnsi="仿宋_GB2312" w:eastAsia="仿宋_GB2312" w:cs="仿宋_GB2312"/>
          <w:bCs/>
          <w:color w:val="auto"/>
          <w:szCs w:val="32"/>
          <w:lang w:val="zh-CN"/>
        </w:rPr>
        <w:fldChar w:fldCharType="end"/>
      </w:r>
    </w:p>
    <w:p w14:paraId="0ED71FD5">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_Toc22771 </w:instrText>
      </w:r>
      <w:r>
        <w:rPr>
          <w:rFonts w:hint="eastAsia" w:ascii="仿宋_GB2312" w:hAnsi="仿宋_GB2312" w:eastAsia="仿宋_GB2312" w:cs="仿宋_GB2312"/>
          <w:bCs/>
          <w:szCs w:val="32"/>
          <w:lang w:val="zh-CN"/>
        </w:rPr>
        <w:fldChar w:fldCharType="separate"/>
      </w:r>
      <w:r>
        <w:rPr>
          <w:rFonts w:hint="eastAsia"/>
          <w:highlight w:val="none"/>
        </w:rPr>
        <w:t>第二节 大力发展镇域经济</w:t>
      </w:r>
      <w:r>
        <w:tab/>
      </w:r>
      <w:r>
        <w:fldChar w:fldCharType="begin"/>
      </w:r>
      <w:r>
        <w:instrText xml:space="preserve"> PAGEREF _Toc22771 \h </w:instrText>
      </w:r>
      <w:r>
        <w:fldChar w:fldCharType="separate"/>
      </w:r>
      <w:r>
        <w:t>- 49 -</w:t>
      </w:r>
      <w:r>
        <w:fldChar w:fldCharType="end"/>
      </w:r>
      <w:r>
        <w:rPr>
          <w:rFonts w:hint="eastAsia" w:ascii="仿宋_GB2312" w:hAnsi="仿宋_GB2312" w:eastAsia="仿宋_GB2312" w:cs="仿宋_GB2312"/>
          <w:bCs/>
          <w:color w:val="auto"/>
          <w:szCs w:val="32"/>
          <w:lang w:val="zh-CN"/>
        </w:rPr>
        <w:fldChar w:fldCharType="end"/>
      </w:r>
    </w:p>
    <w:p w14:paraId="09CDFCFA">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_Toc2967 </w:instrText>
      </w:r>
      <w:r>
        <w:rPr>
          <w:rFonts w:hint="eastAsia" w:ascii="仿宋_GB2312" w:hAnsi="仿宋_GB2312" w:eastAsia="仿宋_GB2312" w:cs="仿宋_GB2312"/>
          <w:bCs/>
          <w:szCs w:val="32"/>
          <w:lang w:val="zh-CN"/>
        </w:rPr>
        <w:fldChar w:fldCharType="separate"/>
      </w:r>
      <w:r>
        <w:rPr>
          <w:rFonts w:hint="eastAsia"/>
          <w:highlight w:val="none"/>
        </w:rPr>
        <w:t>第三节 深入推进新型城镇化</w:t>
      </w:r>
      <w:r>
        <w:tab/>
      </w:r>
      <w:r>
        <w:fldChar w:fldCharType="begin"/>
      </w:r>
      <w:r>
        <w:instrText xml:space="preserve"> PAGEREF _Toc2967 \h </w:instrText>
      </w:r>
      <w:r>
        <w:fldChar w:fldCharType="separate"/>
      </w:r>
      <w:r>
        <w:t>- 52 -</w:t>
      </w:r>
      <w:r>
        <w:fldChar w:fldCharType="end"/>
      </w:r>
      <w:r>
        <w:rPr>
          <w:rFonts w:hint="eastAsia" w:ascii="仿宋_GB2312" w:hAnsi="仿宋_GB2312" w:eastAsia="仿宋_GB2312" w:cs="仿宋_GB2312"/>
          <w:bCs/>
          <w:color w:val="auto"/>
          <w:szCs w:val="32"/>
          <w:lang w:val="zh-CN"/>
        </w:rPr>
        <w:fldChar w:fldCharType="end"/>
      </w:r>
    </w:p>
    <w:p w14:paraId="3B1CE60B">
      <w:pPr>
        <w:pStyle w:val="15"/>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_Toc30852 </w:instrText>
      </w:r>
      <w:r>
        <w:rPr>
          <w:rFonts w:hint="eastAsia" w:ascii="仿宋_GB2312" w:hAnsi="仿宋_GB2312" w:eastAsia="仿宋_GB2312" w:cs="仿宋_GB2312"/>
          <w:bCs/>
          <w:szCs w:val="32"/>
          <w:lang w:val="zh-CN"/>
        </w:rPr>
        <w:fldChar w:fldCharType="separate"/>
      </w:r>
      <w:r>
        <w:rPr>
          <w:rFonts w:hint="eastAsia" w:ascii="黑体" w:hAnsi="黑体" w:eastAsia="黑体"/>
          <w:bCs w:val="0"/>
          <w:szCs w:val="32"/>
          <w:highlight w:val="none"/>
        </w:rPr>
        <w:t>第六章 突出农业农村现代化，</w:t>
      </w:r>
      <w:r>
        <w:rPr>
          <w:rFonts w:hint="eastAsia" w:ascii="黑体" w:hAnsi="黑体" w:eastAsia="黑体"/>
          <w:bCs w:val="0"/>
          <w:szCs w:val="32"/>
          <w:highlight w:val="none"/>
          <w:lang w:val="en-US" w:eastAsia="zh-CN"/>
        </w:rPr>
        <w:t>奋力推进</w:t>
      </w:r>
      <w:r>
        <w:rPr>
          <w:rFonts w:hint="eastAsia" w:ascii="黑体" w:hAnsi="黑体" w:eastAsia="黑体"/>
          <w:bCs w:val="0"/>
          <w:szCs w:val="32"/>
          <w:highlight w:val="none"/>
        </w:rPr>
        <w:t>乡村</w:t>
      </w:r>
      <w:r>
        <w:rPr>
          <w:rFonts w:hint="eastAsia" w:ascii="黑体" w:hAnsi="黑体" w:eastAsia="黑体"/>
          <w:bCs w:val="0"/>
          <w:szCs w:val="32"/>
          <w:highlight w:val="none"/>
          <w:lang w:val="en-US" w:eastAsia="zh-CN"/>
        </w:rPr>
        <w:t>全面</w:t>
      </w:r>
      <w:r>
        <w:rPr>
          <w:rFonts w:hint="eastAsia" w:ascii="黑体" w:hAnsi="黑体" w:eastAsia="黑体"/>
          <w:bCs w:val="0"/>
          <w:szCs w:val="32"/>
          <w:highlight w:val="none"/>
        </w:rPr>
        <w:t>振兴</w:t>
      </w:r>
      <w:r>
        <w:tab/>
      </w:r>
      <w:r>
        <w:fldChar w:fldCharType="begin"/>
      </w:r>
      <w:r>
        <w:instrText xml:space="preserve"> PAGEREF _Toc30852 \h </w:instrText>
      </w:r>
      <w:r>
        <w:fldChar w:fldCharType="separate"/>
      </w:r>
      <w:r>
        <w:t>- 54 -</w:t>
      </w:r>
      <w:r>
        <w:fldChar w:fldCharType="end"/>
      </w:r>
      <w:r>
        <w:rPr>
          <w:rFonts w:hint="eastAsia" w:ascii="仿宋_GB2312" w:hAnsi="仿宋_GB2312" w:eastAsia="仿宋_GB2312" w:cs="仿宋_GB2312"/>
          <w:bCs/>
          <w:color w:val="auto"/>
          <w:szCs w:val="32"/>
          <w:lang w:val="zh-CN"/>
        </w:rPr>
        <w:fldChar w:fldCharType="end"/>
      </w:r>
    </w:p>
    <w:p w14:paraId="450851FB">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_Toc20256 </w:instrText>
      </w:r>
      <w:r>
        <w:rPr>
          <w:rFonts w:hint="eastAsia" w:ascii="仿宋_GB2312" w:hAnsi="仿宋_GB2312" w:eastAsia="仿宋_GB2312" w:cs="仿宋_GB2312"/>
          <w:bCs/>
          <w:szCs w:val="32"/>
          <w:lang w:val="zh-CN"/>
        </w:rPr>
        <w:fldChar w:fldCharType="separate"/>
      </w:r>
      <w:r>
        <w:rPr>
          <w:rFonts w:hint="eastAsia"/>
          <w:highlight w:val="none"/>
        </w:rPr>
        <w:t>第一节 夯实粮食安全生产底盘</w:t>
      </w:r>
      <w:r>
        <w:tab/>
      </w:r>
      <w:r>
        <w:fldChar w:fldCharType="begin"/>
      </w:r>
      <w:r>
        <w:instrText xml:space="preserve"> PAGEREF _Toc20256 \h </w:instrText>
      </w:r>
      <w:r>
        <w:fldChar w:fldCharType="separate"/>
      </w:r>
      <w:r>
        <w:t>- 54 -</w:t>
      </w:r>
      <w:r>
        <w:fldChar w:fldCharType="end"/>
      </w:r>
      <w:r>
        <w:rPr>
          <w:rFonts w:hint="eastAsia" w:ascii="仿宋_GB2312" w:hAnsi="仿宋_GB2312" w:eastAsia="仿宋_GB2312" w:cs="仿宋_GB2312"/>
          <w:bCs/>
          <w:color w:val="auto"/>
          <w:szCs w:val="32"/>
          <w:lang w:val="zh-CN"/>
        </w:rPr>
        <w:fldChar w:fldCharType="end"/>
      </w:r>
    </w:p>
    <w:p w14:paraId="20DD20DB">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_Toc12120 </w:instrText>
      </w:r>
      <w:r>
        <w:rPr>
          <w:rFonts w:hint="eastAsia" w:ascii="仿宋_GB2312" w:hAnsi="仿宋_GB2312" w:eastAsia="仿宋_GB2312" w:cs="仿宋_GB2312"/>
          <w:bCs/>
          <w:szCs w:val="32"/>
          <w:lang w:val="zh-CN"/>
        </w:rPr>
        <w:fldChar w:fldCharType="separate"/>
      </w:r>
      <w:r>
        <w:rPr>
          <w:rFonts w:hint="eastAsia"/>
          <w:highlight w:val="none"/>
        </w:rPr>
        <w:t>第二节 做大做强特色优势农业</w:t>
      </w:r>
      <w:r>
        <w:tab/>
      </w:r>
      <w:r>
        <w:fldChar w:fldCharType="begin"/>
      </w:r>
      <w:r>
        <w:instrText xml:space="preserve"> PAGEREF _Toc12120 \h </w:instrText>
      </w:r>
      <w:r>
        <w:fldChar w:fldCharType="separate"/>
      </w:r>
      <w:r>
        <w:t>- 56 -</w:t>
      </w:r>
      <w:r>
        <w:fldChar w:fldCharType="end"/>
      </w:r>
      <w:r>
        <w:rPr>
          <w:rFonts w:hint="eastAsia" w:ascii="仿宋_GB2312" w:hAnsi="仿宋_GB2312" w:eastAsia="仿宋_GB2312" w:cs="仿宋_GB2312"/>
          <w:bCs/>
          <w:color w:val="auto"/>
          <w:szCs w:val="32"/>
          <w:lang w:val="zh-CN"/>
        </w:rPr>
        <w:fldChar w:fldCharType="end"/>
      </w:r>
    </w:p>
    <w:p w14:paraId="7B82D1E5">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_Toc28155 </w:instrText>
      </w:r>
      <w:r>
        <w:rPr>
          <w:rFonts w:hint="eastAsia" w:ascii="仿宋_GB2312" w:hAnsi="仿宋_GB2312" w:eastAsia="仿宋_GB2312" w:cs="仿宋_GB2312"/>
          <w:bCs/>
          <w:szCs w:val="32"/>
          <w:lang w:val="zh-CN"/>
        </w:rPr>
        <w:fldChar w:fldCharType="separate"/>
      </w:r>
      <w:r>
        <w:rPr>
          <w:rFonts w:hint="eastAsia"/>
          <w:highlight w:val="none"/>
        </w:rPr>
        <w:t>第三节 建设宜居宜业和美乡村</w:t>
      </w:r>
      <w:r>
        <w:tab/>
      </w:r>
      <w:r>
        <w:fldChar w:fldCharType="begin"/>
      </w:r>
      <w:r>
        <w:instrText xml:space="preserve"> PAGEREF _Toc28155 \h </w:instrText>
      </w:r>
      <w:r>
        <w:fldChar w:fldCharType="separate"/>
      </w:r>
      <w:r>
        <w:t>- 58 -</w:t>
      </w:r>
      <w:r>
        <w:fldChar w:fldCharType="end"/>
      </w:r>
      <w:r>
        <w:rPr>
          <w:rFonts w:hint="eastAsia" w:ascii="仿宋_GB2312" w:hAnsi="仿宋_GB2312" w:eastAsia="仿宋_GB2312" w:cs="仿宋_GB2312"/>
          <w:bCs/>
          <w:color w:val="auto"/>
          <w:szCs w:val="32"/>
          <w:lang w:val="zh-CN"/>
        </w:rPr>
        <w:fldChar w:fldCharType="end"/>
      </w:r>
    </w:p>
    <w:p w14:paraId="5200BD6D">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_Toc12766 </w:instrText>
      </w:r>
      <w:r>
        <w:rPr>
          <w:rFonts w:hint="eastAsia" w:ascii="仿宋_GB2312" w:hAnsi="仿宋_GB2312" w:eastAsia="仿宋_GB2312" w:cs="仿宋_GB2312"/>
          <w:bCs/>
          <w:szCs w:val="32"/>
          <w:lang w:val="zh-CN"/>
        </w:rPr>
        <w:fldChar w:fldCharType="separate"/>
      </w:r>
      <w:r>
        <w:rPr>
          <w:rFonts w:hint="eastAsia"/>
          <w:highlight w:val="none"/>
        </w:rPr>
        <w:t>第四节 完善强农惠农富农政策</w:t>
      </w:r>
      <w:r>
        <w:tab/>
      </w:r>
      <w:r>
        <w:fldChar w:fldCharType="begin"/>
      </w:r>
      <w:r>
        <w:instrText xml:space="preserve"> PAGEREF _Toc12766 \h </w:instrText>
      </w:r>
      <w:r>
        <w:fldChar w:fldCharType="separate"/>
      </w:r>
      <w:r>
        <w:t>- 59 -</w:t>
      </w:r>
      <w:r>
        <w:fldChar w:fldCharType="end"/>
      </w:r>
      <w:r>
        <w:rPr>
          <w:rFonts w:hint="eastAsia" w:ascii="仿宋_GB2312" w:hAnsi="仿宋_GB2312" w:eastAsia="仿宋_GB2312" w:cs="仿宋_GB2312"/>
          <w:bCs/>
          <w:color w:val="auto"/>
          <w:szCs w:val="32"/>
          <w:lang w:val="zh-CN"/>
        </w:rPr>
        <w:fldChar w:fldCharType="end"/>
      </w:r>
    </w:p>
    <w:p w14:paraId="17E6D1CF">
      <w:pPr>
        <w:pStyle w:val="15"/>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_Toc19901 </w:instrText>
      </w:r>
      <w:r>
        <w:rPr>
          <w:rFonts w:hint="eastAsia" w:ascii="仿宋_GB2312" w:hAnsi="仿宋_GB2312" w:eastAsia="仿宋_GB2312" w:cs="仿宋_GB2312"/>
          <w:bCs/>
          <w:szCs w:val="32"/>
          <w:lang w:val="zh-CN"/>
        </w:rPr>
        <w:fldChar w:fldCharType="separate"/>
      </w:r>
      <w:r>
        <w:rPr>
          <w:rFonts w:hint="eastAsia" w:ascii="黑体" w:hAnsi="黑体" w:eastAsia="黑体"/>
          <w:bCs w:val="0"/>
          <w:szCs w:val="32"/>
          <w:highlight w:val="none"/>
        </w:rPr>
        <w:t>第七章 突出文化</w:t>
      </w:r>
      <w:r>
        <w:rPr>
          <w:rFonts w:ascii="黑体" w:hAnsi="黑体" w:eastAsia="黑体"/>
          <w:bCs w:val="0"/>
          <w:szCs w:val="32"/>
          <w:highlight w:val="none"/>
        </w:rPr>
        <w:t>两创发展</w:t>
      </w:r>
      <w:r>
        <w:rPr>
          <w:rFonts w:hint="eastAsia" w:ascii="黑体" w:hAnsi="黑体" w:eastAsia="黑体"/>
          <w:bCs w:val="0"/>
          <w:szCs w:val="32"/>
          <w:highlight w:val="none"/>
        </w:rPr>
        <w:t>，建设运河文化传承核心区</w:t>
      </w:r>
      <w:r>
        <w:tab/>
      </w:r>
      <w:r>
        <w:fldChar w:fldCharType="begin"/>
      </w:r>
      <w:r>
        <w:instrText xml:space="preserve"> PAGEREF _Toc19901 \h </w:instrText>
      </w:r>
      <w:r>
        <w:fldChar w:fldCharType="separate"/>
      </w:r>
      <w:r>
        <w:t>- 62 -</w:t>
      </w:r>
      <w:r>
        <w:fldChar w:fldCharType="end"/>
      </w:r>
      <w:r>
        <w:rPr>
          <w:rFonts w:hint="eastAsia" w:ascii="仿宋_GB2312" w:hAnsi="仿宋_GB2312" w:eastAsia="仿宋_GB2312" w:cs="仿宋_GB2312"/>
          <w:bCs/>
          <w:color w:val="auto"/>
          <w:szCs w:val="32"/>
          <w:lang w:val="zh-CN"/>
        </w:rPr>
        <w:fldChar w:fldCharType="end"/>
      </w:r>
    </w:p>
    <w:p w14:paraId="71468CDC">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_Toc20149 </w:instrText>
      </w:r>
      <w:r>
        <w:rPr>
          <w:rFonts w:hint="eastAsia" w:ascii="仿宋_GB2312" w:hAnsi="仿宋_GB2312" w:eastAsia="仿宋_GB2312" w:cs="仿宋_GB2312"/>
          <w:bCs/>
          <w:szCs w:val="32"/>
          <w:lang w:val="zh-CN"/>
        </w:rPr>
        <w:fldChar w:fldCharType="separate"/>
      </w:r>
      <w:r>
        <w:rPr>
          <w:rFonts w:hint="eastAsia"/>
          <w:highlight w:val="none"/>
        </w:rPr>
        <w:t>第一节 全面提升社会文明程度</w:t>
      </w:r>
      <w:r>
        <w:tab/>
      </w:r>
      <w:r>
        <w:fldChar w:fldCharType="begin"/>
      </w:r>
      <w:r>
        <w:instrText xml:space="preserve"> PAGEREF _Toc20149 \h </w:instrText>
      </w:r>
      <w:r>
        <w:fldChar w:fldCharType="separate"/>
      </w:r>
      <w:r>
        <w:t>- 62 -</w:t>
      </w:r>
      <w:r>
        <w:fldChar w:fldCharType="end"/>
      </w:r>
      <w:r>
        <w:rPr>
          <w:rFonts w:hint="eastAsia" w:ascii="仿宋_GB2312" w:hAnsi="仿宋_GB2312" w:eastAsia="仿宋_GB2312" w:cs="仿宋_GB2312"/>
          <w:bCs/>
          <w:color w:val="auto"/>
          <w:szCs w:val="32"/>
          <w:lang w:val="zh-CN"/>
        </w:rPr>
        <w:fldChar w:fldCharType="end"/>
      </w:r>
    </w:p>
    <w:p w14:paraId="6F535865">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_Toc27775 </w:instrText>
      </w:r>
      <w:r>
        <w:rPr>
          <w:rFonts w:hint="eastAsia" w:ascii="仿宋_GB2312" w:hAnsi="仿宋_GB2312" w:eastAsia="仿宋_GB2312" w:cs="仿宋_GB2312"/>
          <w:bCs/>
          <w:szCs w:val="32"/>
          <w:lang w:val="zh-CN"/>
        </w:rPr>
        <w:fldChar w:fldCharType="separate"/>
      </w:r>
      <w:r>
        <w:rPr>
          <w:rFonts w:hint="eastAsia"/>
          <w:highlight w:val="none"/>
        </w:rPr>
        <w:t>第二节 保护</w:t>
      </w:r>
      <w:r>
        <w:rPr>
          <w:highlight w:val="none"/>
        </w:rPr>
        <w:t>传承</w:t>
      </w:r>
      <w:r>
        <w:rPr>
          <w:rFonts w:hint="eastAsia"/>
          <w:highlight w:val="none"/>
        </w:rPr>
        <w:t>优秀传统文化</w:t>
      </w:r>
      <w:r>
        <w:tab/>
      </w:r>
      <w:r>
        <w:fldChar w:fldCharType="begin"/>
      </w:r>
      <w:r>
        <w:instrText xml:space="preserve"> PAGEREF _Toc27775 \h </w:instrText>
      </w:r>
      <w:r>
        <w:fldChar w:fldCharType="separate"/>
      </w:r>
      <w:r>
        <w:t>- 63 -</w:t>
      </w:r>
      <w:r>
        <w:fldChar w:fldCharType="end"/>
      </w:r>
      <w:r>
        <w:rPr>
          <w:rFonts w:hint="eastAsia" w:ascii="仿宋_GB2312" w:hAnsi="仿宋_GB2312" w:eastAsia="仿宋_GB2312" w:cs="仿宋_GB2312"/>
          <w:bCs/>
          <w:color w:val="auto"/>
          <w:szCs w:val="32"/>
          <w:lang w:val="zh-CN"/>
        </w:rPr>
        <w:fldChar w:fldCharType="end"/>
      </w:r>
    </w:p>
    <w:p w14:paraId="0EEC36D7">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_Toc5565 </w:instrText>
      </w:r>
      <w:r>
        <w:rPr>
          <w:rFonts w:hint="eastAsia" w:ascii="仿宋_GB2312" w:hAnsi="仿宋_GB2312" w:eastAsia="仿宋_GB2312" w:cs="仿宋_GB2312"/>
          <w:bCs/>
          <w:szCs w:val="32"/>
          <w:lang w:val="zh-CN"/>
        </w:rPr>
        <w:fldChar w:fldCharType="separate"/>
      </w:r>
      <w:r>
        <w:rPr>
          <w:rFonts w:hint="eastAsia"/>
          <w:highlight w:val="none"/>
        </w:rPr>
        <w:t>第三节 健全公共文化服务体系</w:t>
      </w:r>
      <w:r>
        <w:tab/>
      </w:r>
      <w:r>
        <w:fldChar w:fldCharType="begin"/>
      </w:r>
      <w:r>
        <w:instrText xml:space="preserve"> PAGEREF _Toc5565 \h </w:instrText>
      </w:r>
      <w:r>
        <w:fldChar w:fldCharType="separate"/>
      </w:r>
      <w:r>
        <w:t>- 65 -</w:t>
      </w:r>
      <w:r>
        <w:fldChar w:fldCharType="end"/>
      </w:r>
      <w:r>
        <w:rPr>
          <w:rFonts w:hint="eastAsia" w:ascii="仿宋_GB2312" w:hAnsi="仿宋_GB2312" w:eastAsia="仿宋_GB2312" w:cs="仿宋_GB2312"/>
          <w:bCs/>
          <w:color w:val="auto"/>
          <w:szCs w:val="32"/>
          <w:lang w:val="zh-CN"/>
        </w:rPr>
        <w:fldChar w:fldCharType="end"/>
      </w:r>
    </w:p>
    <w:p w14:paraId="565A343C">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_Toc9249 </w:instrText>
      </w:r>
      <w:r>
        <w:rPr>
          <w:rFonts w:hint="eastAsia" w:ascii="仿宋_GB2312" w:hAnsi="仿宋_GB2312" w:eastAsia="仿宋_GB2312" w:cs="仿宋_GB2312"/>
          <w:bCs/>
          <w:szCs w:val="32"/>
          <w:lang w:val="zh-CN"/>
        </w:rPr>
        <w:fldChar w:fldCharType="separate"/>
      </w:r>
      <w:r>
        <w:rPr>
          <w:rFonts w:hint="eastAsia"/>
          <w:highlight w:val="none"/>
        </w:rPr>
        <w:t>第</w:t>
      </w:r>
      <w:r>
        <w:rPr>
          <w:rFonts w:hint="eastAsia"/>
          <w:highlight w:val="none"/>
          <w:lang w:val="en-US" w:eastAsia="zh-CN"/>
        </w:rPr>
        <w:t>四</w:t>
      </w:r>
      <w:r>
        <w:rPr>
          <w:rFonts w:hint="eastAsia"/>
          <w:highlight w:val="none"/>
        </w:rPr>
        <w:t>节 加快培育发展文化产业</w:t>
      </w:r>
      <w:r>
        <w:tab/>
      </w:r>
      <w:r>
        <w:fldChar w:fldCharType="begin"/>
      </w:r>
      <w:r>
        <w:instrText xml:space="preserve"> PAGEREF _Toc9249 \h </w:instrText>
      </w:r>
      <w:r>
        <w:fldChar w:fldCharType="separate"/>
      </w:r>
      <w:r>
        <w:t>- 67 -</w:t>
      </w:r>
      <w:r>
        <w:fldChar w:fldCharType="end"/>
      </w:r>
      <w:r>
        <w:rPr>
          <w:rFonts w:hint="eastAsia" w:ascii="仿宋_GB2312" w:hAnsi="仿宋_GB2312" w:eastAsia="仿宋_GB2312" w:cs="仿宋_GB2312"/>
          <w:bCs/>
          <w:color w:val="auto"/>
          <w:szCs w:val="32"/>
          <w:lang w:val="zh-CN"/>
        </w:rPr>
        <w:fldChar w:fldCharType="end"/>
      </w:r>
    </w:p>
    <w:p w14:paraId="54EE2A96">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_Toc25805 </w:instrText>
      </w:r>
      <w:r>
        <w:rPr>
          <w:rFonts w:hint="eastAsia" w:ascii="仿宋_GB2312" w:hAnsi="仿宋_GB2312" w:eastAsia="仿宋_GB2312" w:cs="仿宋_GB2312"/>
          <w:bCs/>
          <w:szCs w:val="32"/>
          <w:lang w:val="zh-CN"/>
        </w:rPr>
        <w:fldChar w:fldCharType="separate"/>
      </w:r>
      <w:r>
        <w:rPr>
          <w:rFonts w:hint="eastAsia"/>
          <w:highlight w:val="none"/>
        </w:rPr>
        <w:t>第</w:t>
      </w:r>
      <w:r>
        <w:rPr>
          <w:rFonts w:hint="eastAsia"/>
          <w:highlight w:val="none"/>
          <w:lang w:val="en-US" w:eastAsia="zh-CN"/>
        </w:rPr>
        <w:t>五</w:t>
      </w:r>
      <w:r>
        <w:rPr>
          <w:rFonts w:hint="eastAsia"/>
          <w:highlight w:val="none"/>
        </w:rPr>
        <w:t>节 推进文旅深度融合发展</w:t>
      </w:r>
      <w:r>
        <w:tab/>
      </w:r>
      <w:r>
        <w:fldChar w:fldCharType="begin"/>
      </w:r>
      <w:r>
        <w:instrText xml:space="preserve"> PAGEREF _Toc25805 \h </w:instrText>
      </w:r>
      <w:r>
        <w:fldChar w:fldCharType="separate"/>
      </w:r>
      <w:r>
        <w:t>- 68 -</w:t>
      </w:r>
      <w:r>
        <w:fldChar w:fldCharType="end"/>
      </w:r>
      <w:r>
        <w:rPr>
          <w:rFonts w:hint="eastAsia" w:ascii="仿宋_GB2312" w:hAnsi="仿宋_GB2312" w:eastAsia="仿宋_GB2312" w:cs="仿宋_GB2312"/>
          <w:bCs/>
          <w:color w:val="auto"/>
          <w:szCs w:val="32"/>
          <w:lang w:val="zh-CN"/>
        </w:rPr>
        <w:fldChar w:fldCharType="end"/>
      </w:r>
    </w:p>
    <w:p w14:paraId="10C3F4BA">
      <w:pPr>
        <w:pStyle w:val="15"/>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_Toc173 </w:instrText>
      </w:r>
      <w:r>
        <w:rPr>
          <w:rFonts w:hint="eastAsia" w:ascii="仿宋_GB2312" w:hAnsi="仿宋_GB2312" w:eastAsia="仿宋_GB2312" w:cs="仿宋_GB2312"/>
          <w:bCs/>
          <w:szCs w:val="32"/>
          <w:lang w:val="zh-CN"/>
        </w:rPr>
        <w:fldChar w:fldCharType="separate"/>
      </w:r>
      <w:r>
        <w:rPr>
          <w:rFonts w:hint="eastAsia" w:ascii="黑体" w:hAnsi="黑体" w:eastAsia="黑体"/>
          <w:bCs w:val="0"/>
          <w:szCs w:val="32"/>
          <w:highlight w:val="none"/>
        </w:rPr>
        <w:t>第八章</w:t>
      </w:r>
      <w:r>
        <w:rPr>
          <w:rFonts w:ascii="黑体" w:hAnsi="黑体" w:eastAsia="黑体"/>
          <w:bCs w:val="0"/>
          <w:szCs w:val="32"/>
          <w:highlight w:val="none"/>
        </w:rPr>
        <w:t xml:space="preserve"> </w:t>
      </w:r>
      <w:r>
        <w:rPr>
          <w:rFonts w:hint="eastAsia" w:ascii="黑体" w:hAnsi="黑体" w:eastAsia="黑体"/>
          <w:bCs w:val="0"/>
          <w:szCs w:val="32"/>
          <w:highlight w:val="none"/>
        </w:rPr>
        <w:t>突出</w:t>
      </w:r>
      <w:r>
        <w:rPr>
          <w:rFonts w:ascii="黑体" w:hAnsi="黑体" w:eastAsia="黑体"/>
          <w:bCs w:val="0"/>
          <w:szCs w:val="32"/>
          <w:highlight w:val="none"/>
        </w:rPr>
        <w:t>改革开放</w:t>
      </w:r>
      <w:r>
        <w:rPr>
          <w:rFonts w:hint="eastAsia" w:ascii="黑体" w:hAnsi="黑体" w:eastAsia="黑体"/>
          <w:bCs w:val="0"/>
          <w:szCs w:val="32"/>
          <w:highlight w:val="none"/>
        </w:rPr>
        <w:t>协同</w:t>
      </w:r>
      <w:r>
        <w:rPr>
          <w:rFonts w:ascii="黑体" w:hAnsi="黑体" w:eastAsia="黑体"/>
          <w:bCs w:val="0"/>
          <w:szCs w:val="32"/>
          <w:highlight w:val="none"/>
        </w:rPr>
        <w:t>性</w:t>
      </w:r>
      <w:r>
        <w:rPr>
          <w:rFonts w:hint="eastAsia" w:ascii="黑体" w:hAnsi="黑体" w:eastAsia="黑体"/>
          <w:bCs w:val="0"/>
          <w:szCs w:val="32"/>
          <w:highlight w:val="none"/>
        </w:rPr>
        <w:t>，增强高质量发展内生动力</w:t>
      </w:r>
      <w:r>
        <w:tab/>
      </w:r>
      <w:r>
        <w:fldChar w:fldCharType="begin"/>
      </w:r>
      <w:r>
        <w:instrText xml:space="preserve"> PAGEREF _Toc173 \h </w:instrText>
      </w:r>
      <w:r>
        <w:fldChar w:fldCharType="separate"/>
      </w:r>
      <w:r>
        <w:t>- 73 -</w:t>
      </w:r>
      <w:r>
        <w:fldChar w:fldCharType="end"/>
      </w:r>
      <w:r>
        <w:rPr>
          <w:rFonts w:hint="eastAsia" w:ascii="仿宋_GB2312" w:hAnsi="仿宋_GB2312" w:eastAsia="仿宋_GB2312" w:cs="仿宋_GB2312"/>
          <w:bCs/>
          <w:color w:val="auto"/>
          <w:szCs w:val="32"/>
          <w:lang w:val="zh-CN"/>
        </w:rPr>
        <w:fldChar w:fldCharType="end"/>
      </w:r>
    </w:p>
    <w:p w14:paraId="382FC8F4">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_Toc28437 </w:instrText>
      </w:r>
      <w:r>
        <w:rPr>
          <w:rFonts w:hint="eastAsia" w:ascii="仿宋_GB2312" w:hAnsi="仿宋_GB2312" w:eastAsia="仿宋_GB2312" w:cs="仿宋_GB2312"/>
          <w:bCs/>
          <w:szCs w:val="32"/>
          <w:lang w:val="zh-CN"/>
        </w:rPr>
        <w:fldChar w:fldCharType="separate"/>
      </w:r>
      <w:r>
        <w:rPr>
          <w:rFonts w:hint="eastAsia"/>
          <w:highlight w:val="none"/>
        </w:rPr>
        <w:t>第一节 充分激发各类经营主体活力</w:t>
      </w:r>
      <w:r>
        <w:tab/>
      </w:r>
      <w:r>
        <w:fldChar w:fldCharType="begin"/>
      </w:r>
      <w:r>
        <w:instrText xml:space="preserve"> PAGEREF _Toc28437 \h </w:instrText>
      </w:r>
      <w:r>
        <w:fldChar w:fldCharType="separate"/>
      </w:r>
      <w:r>
        <w:t>- 73 -</w:t>
      </w:r>
      <w:r>
        <w:fldChar w:fldCharType="end"/>
      </w:r>
      <w:r>
        <w:rPr>
          <w:rFonts w:hint="eastAsia" w:ascii="仿宋_GB2312" w:hAnsi="仿宋_GB2312" w:eastAsia="仿宋_GB2312" w:cs="仿宋_GB2312"/>
          <w:bCs/>
          <w:color w:val="auto"/>
          <w:szCs w:val="32"/>
          <w:lang w:val="zh-CN"/>
        </w:rPr>
        <w:fldChar w:fldCharType="end"/>
      </w:r>
    </w:p>
    <w:p w14:paraId="0E208A74">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_Toc2745 </w:instrText>
      </w:r>
      <w:r>
        <w:rPr>
          <w:rFonts w:hint="eastAsia" w:ascii="仿宋_GB2312" w:hAnsi="仿宋_GB2312" w:eastAsia="仿宋_GB2312" w:cs="仿宋_GB2312"/>
          <w:bCs/>
          <w:szCs w:val="32"/>
          <w:lang w:val="zh-CN"/>
        </w:rPr>
        <w:fldChar w:fldCharType="separate"/>
      </w:r>
      <w:r>
        <w:rPr>
          <w:rFonts w:hint="eastAsia"/>
          <w:highlight w:val="none"/>
        </w:rPr>
        <w:t>第二节 纵深推进</w:t>
      </w:r>
      <w:r>
        <w:rPr>
          <w:highlight w:val="none"/>
        </w:rPr>
        <w:t>重点领域改革</w:t>
      </w:r>
      <w:r>
        <w:tab/>
      </w:r>
      <w:r>
        <w:fldChar w:fldCharType="begin"/>
      </w:r>
      <w:r>
        <w:instrText xml:space="preserve"> PAGEREF _Toc2745 \h </w:instrText>
      </w:r>
      <w:r>
        <w:fldChar w:fldCharType="separate"/>
      </w:r>
      <w:r>
        <w:t>- 74 -</w:t>
      </w:r>
      <w:r>
        <w:fldChar w:fldCharType="end"/>
      </w:r>
      <w:r>
        <w:rPr>
          <w:rFonts w:hint="eastAsia" w:ascii="仿宋_GB2312" w:hAnsi="仿宋_GB2312" w:eastAsia="仿宋_GB2312" w:cs="仿宋_GB2312"/>
          <w:bCs/>
          <w:color w:val="auto"/>
          <w:szCs w:val="32"/>
          <w:lang w:val="zh-CN"/>
        </w:rPr>
        <w:fldChar w:fldCharType="end"/>
      </w:r>
    </w:p>
    <w:p w14:paraId="2766A60D">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_Toc15463 </w:instrText>
      </w:r>
      <w:r>
        <w:rPr>
          <w:rFonts w:hint="eastAsia" w:ascii="仿宋_GB2312" w:hAnsi="仿宋_GB2312" w:eastAsia="仿宋_GB2312" w:cs="仿宋_GB2312"/>
          <w:bCs/>
          <w:szCs w:val="32"/>
          <w:lang w:val="zh-CN"/>
        </w:rPr>
        <w:fldChar w:fldCharType="separate"/>
      </w:r>
      <w:r>
        <w:rPr>
          <w:rFonts w:hint="eastAsia"/>
          <w:highlight w:val="none"/>
        </w:rPr>
        <w:t>第三节 打造对外开放新高地</w:t>
      </w:r>
      <w:r>
        <w:tab/>
      </w:r>
      <w:r>
        <w:fldChar w:fldCharType="begin"/>
      </w:r>
      <w:r>
        <w:instrText xml:space="preserve"> PAGEREF _Toc15463 \h </w:instrText>
      </w:r>
      <w:r>
        <w:fldChar w:fldCharType="separate"/>
      </w:r>
      <w:r>
        <w:t>- 76 -</w:t>
      </w:r>
      <w:r>
        <w:fldChar w:fldCharType="end"/>
      </w:r>
      <w:r>
        <w:rPr>
          <w:rFonts w:hint="eastAsia" w:ascii="仿宋_GB2312" w:hAnsi="仿宋_GB2312" w:eastAsia="仿宋_GB2312" w:cs="仿宋_GB2312"/>
          <w:bCs/>
          <w:color w:val="auto"/>
          <w:szCs w:val="32"/>
          <w:lang w:val="zh-CN"/>
        </w:rPr>
        <w:fldChar w:fldCharType="end"/>
      </w:r>
    </w:p>
    <w:p w14:paraId="27558C4A">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_Toc11775 </w:instrText>
      </w:r>
      <w:r>
        <w:rPr>
          <w:rFonts w:hint="eastAsia" w:ascii="仿宋_GB2312" w:hAnsi="仿宋_GB2312" w:eastAsia="仿宋_GB2312" w:cs="仿宋_GB2312"/>
          <w:bCs/>
          <w:szCs w:val="32"/>
          <w:lang w:val="zh-CN"/>
        </w:rPr>
        <w:fldChar w:fldCharType="separate"/>
      </w:r>
      <w:r>
        <w:rPr>
          <w:rFonts w:hint="eastAsia"/>
          <w:highlight w:val="none"/>
        </w:rPr>
        <w:t>第四节 深度融入区域</w:t>
      </w:r>
      <w:r>
        <w:rPr>
          <w:highlight w:val="none"/>
        </w:rPr>
        <w:t>重大战略</w:t>
      </w:r>
      <w:r>
        <w:tab/>
      </w:r>
      <w:r>
        <w:fldChar w:fldCharType="begin"/>
      </w:r>
      <w:r>
        <w:instrText xml:space="preserve"> PAGEREF _Toc11775 \h </w:instrText>
      </w:r>
      <w:r>
        <w:fldChar w:fldCharType="separate"/>
      </w:r>
      <w:r>
        <w:t>- 78 -</w:t>
      </w:r>
      <w:r>
        <w:fldChar w:fldCharType="end"/>
      </w:r>
      <w:r>
        <w:rPr>
          <w:rFonts w:hint="eastAsia" w:ascii="仿宋_GB2312" w:hAnsi="仿宋_GB2312" w:eastAsia="仿宋_GB2312" w:cs="仿宋_GB2312"/>
          <w:bCs/>
          <w:color w:val="auto"/>
          <w:szCs w:val="32"/>
          <w:lang w:val="zh-CN"/>
        </w:rPr>
        <w:fldChar w:fldCharType="end"/>
      </w:r>
    </w:p>
    <w:p w14:paraId="1DCFA914">
      <w:pPr>
        <w:pStyle w:val="15"/>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_Toc18435 </w:instrText>
      </w:r>
      <w:r>
        <w:rPr>
          <w:rFonts w:hint="eastAsia" w:ascii="仿宋_GB2312" w:hAnsi="仿宋_GB2312" w:eastAsia="仿宋_GB2312" w:cs="仿宋_GB2312"/>
          <w:bCs/>
          <w:szCs w:val="32"/>
          <w:lang w:val="zh-CN"/>
        </w:rPr>
        <w:fldChar w:fldCharType="separate"/>
      </w:r>
      <w:r>
        <w:rPr>
          <w:rFonts w:hint="eastAsia" w:ascii="黑体" w:hAnsi="黑体" w:eastAsia="黑体"/>
          <w:bCs w:val="0"/>
          <w:szCs w:val="32"/>
          <w:highlight w:val="none"/>
        </w:rPr>
        <w:t>第九章 突出人的全面发展，更大力度保障和改善民生</w:t>
      </w:r>
      <w:r>
        <w:tab/>
      </w:r>
      <w:r>
        <w:fldChar w:fldCharType="begin"/>
      </w:r>
      <w:r>
        <w:instrText xml:space="preserve"> PAGEREF _Toc18435 \h </w:instrText>
      </w:r>
      <w:r>
        <w:fldChar w:fldCharType="separate"/>
      </w:r>
      <w:r>
        <w:t>- 80 -</w:t>
      </w:r>
      <w:r>
        <w:fldChar w:fldCharType="end"/>
      </w:r>
      <w:r>
        <w:rPr>
          <w:rFonts w:hint="eastAsia" w:ascii="仿宋_GB2312" w:hAnsi="仿宋_GB2312" w:eastAsia="仿宋_GB2312" w:cs="仿宋_GB2312"/>
          <w:bCs/>
          <w:color w:val="auto"/>
          <w:szCs w:val="32"/>
          <w:lang w:val="zh-CN"/>
        </w:rPr>
        <w:fldChar w:fldCharType="end"/>
      </w:r>
    </w:p>
    <w:p w14:paraId="7408A7CC">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_Toc25984 </w:instrText>
      </w:r>
      <w:r>
        <w:rPr>
          <w:rFonts w:hint="eastAsia" w:ascii="仿宋_GB2312" w:hAnsi="仿宋_GB2312" w:eastAsia="仿宋_GB2312" w:cs="仿宋_GB2312"/>
          <w:bCs/>
          <w:szCs w:val="32"/>
          <w:lang w:val="zh-CN"/>
        </w:rPr>
        <w:fldChar w:fldCharType="separate"/>
      </w:r>
      <w:r>
        <w:rPr>
          <w:rFonts w:hint="eastAsia"/>
          <w:highlight w:val="none"/>
        </w:rPr>
        <w:t>第一节 实现更加充分更高质量就业</w:t>
      </w:r>
      <w:r>
        <w:tab/>
      </w:r>
      <w:r>
        <w:fldChar w:fldCharType="begin"/>
      </w:r>
      <w:r>
        <w:instrText xml:space="preserve"> PAGEREF _Toc25984 \h </w:instrText>
      </w:r>
      <w:r>
        <w:fldChar w:fldCharType="separate"/>
      </w:r>
      <w:r>
        <w:t>- 80 -</w:t>
      </w:r>
      <w:r>
        <w:fldChar w:fldCharType="end"/>
      </w:r>
      <w:r>
        <w:rPr>
          <w:rFonts w:hint="eastAsia" w:ascii="仿宋_GB2312" w:hAnsi="仿宋_GB2312" w:eastAsia="仿宋_GB2312" w:cs="仿宋_GB2312"/>
          <w:bCs/>
          <w:color w:val="auto"/>
          <w:szCs w:val="32"/>
          <w:lang w:val="zh-CN"/>
        </w:rPr>
        <w:fldChar w:fldCharType="end"/>
      </w:r>
    </w:p>
    <w:p w14:paraId="65365358">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_Toc25248 </w:instrText>
      </w:r>
      <w:r>
        <w:rPr>
          <w:rFonts w:hint="eastAsia" w:ascii="仿宋_GB2312" w:hAnsi="仿宋_GB2312" w:eastAsia="仿宋_GB2312" w:cs="仿宋_GB2312"/>
          <w:bCs/>
          <w:szCs w:val="32"/>
          <w:lang w:val="zh-CN"/>
        </w:rPr>
        <w:fldChar w:fldCharType="separate"/>
      </w:r>
      <w:r>
        <w:rPr>
          <w:rFonts w:hint="eastAsia"/>
          <w:highlight w:val="none"/>
        </w:rPr>
        <w:t>第二节 全力办好人民满意教育</w:t>
      </w:r>
      <w:r>
        <w:tab/>
      </w:r>
      <w:r>
        <w:fldChar w:fldCharType="begin"/>
      </w:r>
      <w:r>
        <w:instrText xml:space="preserve"> PAGEREF _Toc25248 \h </w:instrText>
      </w:r>
      <w:r>
        <w:fldChar w:fldCharType="separate"/>
      </w:r>
      <w:r>
        <w:t>- 81 -</w:t>
      </w:r>
      <w:r>
        <w:fldChar w:fldCharType="end"/>
      </w:r>
      <w:r>
        <w:rPr>
          <w:rFonts w:hint="eastAsia" w:ascii="仿宋_GB2312" w:hAnsi="仿宋_GB2312" w:eastAsia="仿宋_GB2312" w:cs="仿宋_GB2312"/>
          <w:bCs/>
          <w:color w:val="auto"/>
          <w:szCs w:val="32"/>
          <w:lang w:val="zh-CN"/>
        </w:rPr>
        <w:fldChar w:fldCharType="end"/>
      </w:r>
    </w:p>
    <w:p w14:paraId="07EB2052">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_Toc25065 </w:instrText>
      </w:r>
      <w:r>
        <w:rPr>
          <w:rFonts w:hint="eastAsia" w:ascii="仿宋_GB2312" w:hAnsi="仿宋_GB2312" w:eastAsia="仿宋_GB2312" w:cs="仿宋_GB2312"/>
          <w:bCs/>
          <w:szCs w:val="32"/>
          <w:lang w:val="zh-CN"/>
        </w:rPr>
        <w:fldChar w:fldCharType="separate"/>
      </w:r>
      <w:r>
        <w:rPr>
          <w:rFonts w:hint="eastAsia"/>
          <w:highlight w:val="none"/>
        </w:rPr>
        <w:t>第三节 健全多层次社会保障体系</w:t>
      </w:r>
      <w:r>
        <w:tab/>
      </w:r>
      <w:r>
        <w:fldChar w:fldCharType="begin"/>
      </w:r>
      <w:r>
        <w:instrText xml:space="preserve"> PAGEREF _Toc25065 \h </w:instrText>
      </w:r>
      <w:r>
        <w:fldChar w:fldCharType="separate"/>
      </w:r>
      <w:r>
        <w:t>- 84 -</w:t>
      </w:r>
      <w:r>
        <w:fldChar w:fldCharType="end"/>
      </w:r>
      <w:r>
        <w:rPr>
          <w:rFonts w:hint="eastAsia" w:ascii="仿宋_GB2312" w:hAnsi="仿宋_GB2312" w:eastAsia="仿宋_GB2312" w:cs="仿宋_GB2312"/>
          <w:bCs/>
          <w:color w:val="auto"/>
          <w:szCs w:val="32"/>
          <w:lang w:val="zh-CN"/>
        </w:rPr>
        <w:fldChar w:fldCharType="end"/>
      </w:r>
    </w:p>
    <w:p w14:paraId="629EC580">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_Toc22973 </w:instrText>
      </w:r>
      <w:r>
        <w:rPr>
          <w:rFonts w:hint="eastAsia" w:ascii="仿宋_GB2312" w:hAnsi="仿宋_GB2312" w:eastAsia="仿宋_GB2312" w:cs="仿宋_GB2312"/>
          <w:bCs/>
          <w:szCs w:val="32"/>
          <w:lang w:val="zh-CN"/>
        </w:rPr>
        <w:fldChar w:fldCharType="separate"/>
      </w:r>
      <w:r>
        <w:rPr>
          <w:rFonts w:hint="eastAsia"/>
          <w:highlight w:val="none"/>
        </w:rPr>
        <w:t>第四节 加快建设“健康台儿庄”</w:t>
      </w:r>
      <w:r>
        <w:tab/>
      </w:r>
      <w:r>
        <w:fldChar w:fldCharType="begin"/>
      </w:r>
      <w:r>
        <w:instrText xml:space="preserve"> PAGEREF _Toc22973 \h </w:instrText>
      </w:r>
      <w:r>
        <w:fldChar w:fldCharType="separate"/>
      </w:r>
      <w:r>
        <w:t>- 86 -</w:t>
      </w:r>
      <w:r>
        <w:fldChar w:fldCharType="end"/>
      </w:r>
      <w:r>
        <w:rPr>
          <w:rFonts w:hint="eastAsia" w:ascii="仿宋_GB2312" w:hAnsi="仿宋_GB2312" w:eastAsia="仿宋_GB2312" w:cs="仿宋_GB2312"/>
          <w:bCs/>
          <w:color w:val="auto"/>
          <w:szCs w:val="32"/>
          <w:lang w:val="zh-CN"/>
        </w:rPr>
        <w:fldChar w:fldCharType="end"/>
      </w:r>
    </w:p>
    <w:p w14:paraId="00C1C3A5">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_Toc17441 </w:instrText>
      </w:r>
      <w:r>
        <w:rPr>
          <w:rFonts w:hint="eastAsia" w:ascii="仿宋_GB2312" w:hAnsi="仿宋_GB2312" w:eastAsia="仿宋_GB2312" w:cs="仿宋_GB2312"/>
          <w:bCs/>
          <w:szCs w:val="32"/>
          <w:lang w:val="zh-CN"/>
        </w:rPr>
        <w:fldChar w:fldCharType="separate"/>
      </w:r>
      <w:r>
        <w:rPr>
          <w:rFonts w:hint="eastAsia" w:cs="Times New Roman"/>
          <w:highlight w:val="none"/>
        </w:rPr>
        <w:t>第五节 促进人口高质量发展</w:t>
      </w:r>
      <w:r>
        <w:tab/>
      </w:r>
      <w:r>
        <w:fldChar w:fldCharType="begin"/>
      </w:r>
      <w:r>
        <w:instrText xml:space="preserve"> PAGEREF _Toc17441 \h </w:instrText>
      </w:r>
      <w:r>
        <w:fldChar w:fldCharType="separate"/>
      </w:r>
      <w:r>
        <w:t>- 89 -</w:t>
      </w:r>
      <w:r>
        <w:fldChar w:fldCharType="end"/>
      </w:r>
      <w:r>
        <w:rPr>
          <w:rFonts w:hint="eastAsia" w:ascii="仿宋_GB2312" w:hAnsi="仿宋_GB2312" w:eastAsia="仿宋_GB2312" w:cs="仿宋_GB2312"/>
          <w:bCs/>
          <w:color w:val="auto"/>
          <w:szCs w:val="32"/>
          <w:lang w:val="zh-CN"/>
        </w:rPr>
        <w:fldChar w:fldCharType="end"/>
      </w:r>
    </w:p>
    <w:p w14:paraId="2363ECB3">
      <w:pPr>
        <w:pStyle w:val="15"/>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_Toc13957 </w:instrText>
      </w:r>
      <w:r>
        <w:rPr>
          <w:rFonts w:hint="eastAsia" w:ascii="仿宋_GB2312" w:hAnsi="仿宋_GB2312" w:eastAsia="仿宋_GB2312" w:cs="仿宋_GB2312"/>
          <w:bCs/>
          <w:szCs w:val="32"/>
          <w:lang w:val="zh-CN"/>
        </w:rPr>
        <w:fldChar w:fldCharType="separate"/>
      </w:r>
      <w:r>
        <w:rPr>
          <w:rFonts w:hint="eastAsia" w:ascii="黑体" w:hAnsi="黑体" w:eastAsia="黑体"/>
          <w:bCs w:val="0"/>
          <w:szCs w:val="32"/>
          <w:highlight w:val="none"/>
        </w:rPr>
        <w:t>第十章 突出绿色低碳转型，高水平共建美丽台儿庄</w:t>
      </w:r>
      <w:r>
        <w:tab/>
      </w:r>
      <w:r>
        <w:fldChar w:fldCharType="begin"/>
      </w:r>
      <w:r>
        <w:instrText xml:space="preserve"> PAGEREF _Toc13957 \h </w:instrText>
      </w:r>
      <w:r>
        <w:fldChar w:fldCharType="separate"/>
      </w:r>
      <w:r>
        <w:t>- 93 -</w:t>
      </w:r>
      <w:r>
        <w:fldChar w:fldCharType="end"/>
      </w:r>
      <w:r>
        <w:rPr>
          <w:rFonts w:hint="eastAsia" w:ascii="仿宋_GB2312" w:hAnsi="仿宋_GB2312" w:eastAsia="仿宋_GB2312" w:cs="仿宋_GB2312"/>
          <w:bCs/>
          <w:color w:val="auto"/>
          <w:szCs w:val="32"/>
          <w:lang w:val="zh-CN"/>
        </w:rPr>
        <w:fldChar w:fldCharType="end"/>
      </w:r>
    </w:p>
    <w:p w14:paraId="2AB02E3F">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_Toc5402 </w:instrText>
      </w:r>
      <w:r>
        <w:rPr>
          <w:rFonts w:hint="eastAsia" w:ascii="仿宋_GB2312" w:hAnsi="仿宋_GB2312" w:eastAsia="仿宋_GB2312" w:cs="仿宋_GB2312"/>
          <w:bCs/>
          <w:szCs w:val="32"/>
          <w:lang w:val="zh-CN"/>
        </w:rPr>
        <w:fldChar w:fldCharType="separate"/>
      </w:r>
      <w:r>
        <w:rPr>
          <w:rFonts w:hint="eastAsia"/>
          <w:highlight w:val="none"/>
        </w:rPr>
        <w:t>第一节 持续推进污染防治攻坚</w:t>
      </w:r>
      <w:r>
        <w:tab/>
      </w:r>
      <w:r>
        <w:fldChar w:fldCharType="begin"/>
      </w:r>
      <w:r>
        <w:instrText xml:space="preserve"> PAGEREF _Toc5402 \h </w:instrText>
      </w:r>
      <w:r>
        <w:fldChar w:fldCharType="separate"/>
      </w:r>
      <w:r>
        <w:t>- 93 -</w:t>
      </w:r>
      <w:r>
        <w:fldChar w:fldCharType="end"/>
      </w:r>
      <w:r>
        <w:rPr>
          <w:rFonts w:hint="eastAsia" w:ascii="仿宋_GB2312" w:hAnsi="仿宋_GB2312" w:eastAsia="仿宋_GB2312" w:cs="仿宋_GB2312"/>
          <w:bCs/>
          <w:color w:val="auto"/>
          <w:szCs w:val="32"/>
          <w:lang w:val="zh-CN"/>
        </w:rPr>
        <w:fldChar w:fldCharType="end"/>
      </w:r>
    </w:p>
    <w:p w14:paraId="6077E2AF">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_Toc14538 </w:instrText>
      </w:r>
      <w:r>
        <w:rPr>
          <w:rFonts w:hint="eastAsia" w:ascii="仿宋_GB2312" w:hAnsi="仿宋_GB2312" w:eastAsia="仿宋_GB2312" w:cs="仿宋_GB2312"/>
          <w:bCs/>
          <w:szCs w:val="32"/>
          <w:lang w:val="zh-CN"/>
        </w:rPr>
        <w:fldChar w:fldCharType="separate"/>
      </w:r>
      <w:r>
        <w:rPr>
          <w:rFonts w:hint="eastAsia"/>
          <w:highlight w:val="none"/>
        </w:rPr>
        <w:t>第二节 加快建设新型能源体系</w:t>
      </w:r>
      <w:r>
        <w:tab/>
      </w:r>
      <w:r>
        <w:fldChar w:fldCharType="begin"/>
      </w:r>
      <w:r>
        <w:instrText xml:space="preserve"> PAGEREF _Toc14538 \h </w:instrText>
      </w:r>
      <w:r>
        <w:fldChar w:fldCharType="separate"/>
      </w:r>
      <w:r>
        <w:t>- 95 -</w:t>
      </w:r>
      <w:r>
        <w:fldChar w:fldCharType="end"/>
      </w:r>
      <w:r>
        <w:rPr>
          <w:rFonts w:hint="eastAsia" w:ascii="仿宋_GB2312" w:hAnsi="仿宋_GB2312" w:eastAsia="仿宋_GB2312" w:cs="仿宋_GB2312"/>
          <w:bCs/>
          <w:color w:val="auto"/>
          <w:szCs w:val="32"/>
          <w:lang w:val="zh-CN"/>
        </w:rPr>
        <w:fldChar w:fldCharType="end"/>
      </w:r>
    </w:p>
    <w:p w14:paraId="5BFF6D51">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_Toc11616 </w:instrText>
      </w:r>
      <w:r>
        <w:rPr>
          <w:rFonts w:hint="eastAsia" w:ascii="仿宋_GB2312" w:hAnsi="仿宋_GB2312" w:eastAsia="仿宋_GB2312" w:cs="仿宋_GB2312"/>
          <w:bCs/>
          <w:szCs w:val="32"/>
          <w:lang w:val="zh-CN"/>
        </w:rPr>
        <w:fldChar w:fldCharType="separate"/>
      </w:r>
      <w:r>
        <w:rPr>
          <w:rFonts w:hint="eastAsia"/>
          <w:highlight w:val="none"/>
        </w:rPr>
        <w:t>第三节 积极稳妥推进</w:t>
      </w:r>
      <w:r>
        <w:rPr>
          <w:rFonts w:hint="eastAsia"/>
          <w:highlight w:val="none"/>
          <w:lang w:val="en-US" w:eastAsia="zh-CN"/>
        </w:rPr>
        <w:t>和实现</w:t>
      </w:r>
      <w:r>
        <w:rPr>
          <w:rFonts w:hint="eastAsia"/>
          <w:highlight w:val="none"/>
        </w:rPr>
        <w:t>碳达峰</w:t>
      </w:r>
      <w:r>
        <w:tab/>
      </w:r>
      <w:r>
        <w:fldChar w:fldCharType="begin"/>
      </w:r>
      <w:r>
        <w:instrText xml:space="preserve"> PAGEREF _Toc11616 \h </w:instrText>
      </w:r>
      <w:r>
        <w:fldChar w:fldCharType="separate"/>
      </w:r>
      <w:r>
        <w:t>- 96 -</w:t>
      </w:r>
      <w:r>
        <w:fldChar w:fldCharType="end"/>
      </w:r>
      <w:r>
        <w:rPr>
          <w:rFonts w:hint="eastAsia" w:ascii="仿宋_GB2312" w:hAnsi="仿宋_GB2312" w:eastAsia="仿宋_GB2312" w:cs="仿宋_GB2312"/>
          <w:bCs/>
          <w:color w:val="auto"/>
          <w:szCs w:val="32"/>
          <w:lang w:val="zh-CN"/>
        </w:rPr>
        <w:fldChar w:fldCharType="end"/>
      </w:r>
    </w:p>
    <w:p w14:paraId="33887F42">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_Toc5857 </w:instrText>
      </w:r>
      <w:r>
        <w:rPr>
          <w:rFonts w:hint="eastAsia" w:ascii="仿宋_GB2312" w:hAnsi="仿宋_GB2312" w:eastAsia="仿宋_GB2312" w:cs="仿宋_GB2312"/>
          <w:bCs/>
          <w:szCs w:val="32"/>
          <w:lang w:val="zh-CN"/>
        </w:rPr>
        <w:fldChar w:fldCharType="separate"/>
      </w:r>
      <w:r>
        <w:rPr>
          <w:rFonts w:hint="eastAsia"/>
          <w:highlight w:val="none"/>
        </w:rPr>
        <w:t>第</w:t>
      </w:r>
      <w:r>
        <w:rPr>
          <w:rFonts w:hint="eastAsia"/>
          <w:highlight w:val="none"/>
          <w:lang w:val="en-US" w:eastAsia="zh-CN"/>
        </w:rPr>
        <w:t>四</w:t>
      </w:r>
      <w:r>
        <w:rPr>
          <w:rFonts w:hint="eastAsia"/>
          <w:highlight w:val="none"/>
        </w:rPr>
        <w:t>节 全面加强生态保护修复</w:t>
      </w:r>
      <w:r>
        <w:tab/>
      </w:r>
      <w:r>
        <w:fldChar w:fldCharType="begin"/>
      </w:r>
      <w:r>
        <w:instrText xml:space="preserve"> PAGEREF _Toc5857 \h </w:instrText>
      </w:r>
      <w:r>
        <w:fldChar w:fldCharType="separate"/>
      </w:r>
      <w:r>
        <w:t>- 97 -</w:t>
      </w:r>
      <w:r>
        <w:fldChar w:fldCharType="end"/>
      </w:r>
      <w:r>
        <w:rPr>
          <w:rFonts w:hint="eastAsia" w:ascii="仿宋_GB2312" w:hAnsi="仿宋_GB2312" w:eastAsia="仿宋_GB2312" w:cs="仿宋_GB2312"/>
          <w:bCs/>
          <w:color w:val="auto"/>
          <w:szCs w:val="32"/>
          <w:lang w:val="zh-CN"/>
        </w:rPr>
        <w:fldChar w:fldCharType="end"/>
      </w:r>
    </w:p>
    <w:p w14:paraId="5CEB21BB">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_Toc4608 </w:instrText>
      </w:r>
      <w:r>
        <w:rPr>
          <w:rFonts w:hint="eastAsia" w:ascii="仿宋_GB2312" w:hAnsi="仿宋_GB2312" w:eastAsia="仿宋_GB2312" w:cs="仿宋_GB2312"/>
          <w:bCs/>
          <w:szCs w:val="32"/>
          <w:lang w:val="zh-CN"/>
        </w:rPr>
        <w:fldChar w:fldCharType="separate"/>
      </w:r>
      <w:r>
        <w:rPr>
          <w:rFonts w:hint="eastAsia"/>
          <w:highlight w:val="none"/>
        </w:rPr>
        <w:t>第</w:t>
      </w:r>
      <w:r>
        <w:rPr>
          <w:rFonts w:hint="eastAsia"/>
          <w:highlight w:val="none"/>
          <w:lang w:val="en-US" w:eastAsia="zh-CN"/>
        </w:rPr>
        <w:t>五</w:t>
      </w:r>
      <w:r>
        <w:rPr>
          <w:rFonts w:hint="eastAsia"/>
          <w:highlight w:val="none"/>
        </w:rPr>
        <w:t>节 形成绿色生产生活方式</w:t>
      </w:r>
      <w:r>
        <w:tab/>
      </w:r>
      <w:r>
        <w:fldChar w:fldCharType="begin"/>
      </w:r>
      <w:r>
        <w:instrText xml:space="preserve"> PAGEREF _Toc4608 \h </w:instrText>
      </w:r>
      <w:r>
        <w:fldChar w:fldCharType="separate"/>
      </w:r>
      <w:r>
        <w:t>- 99 -</w:t>
      </w:r>
      <w:r>
        <w:fldChar w:fldCharType="end"/>
      </w:r>
      <w:r>
        <w:rPr>
          <w:rFonts w:hint="eastAsia" w:ascii="仿宋_GB2312" w:hAnsi="仿宋_GB2312" w:eastAsia="仿宋_GB2312" w:cs="仿宋_GB2312"/>
          <w:bCs/>
          <w:color w:val="auto"/>
          <w:szCs w:val="32"/>
          <w:lang w:val="zh-CN"/>
        </w:rPr>
        <w:fldChar w:fldCharType="end"/>
      </w:r>
    </w:p>
    <w:p w14:paraId="2766D76B">
      <w:pPr>
        <w:pStyle w:val="15"/>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_Toc4462 </w:instrText>
      </w:r>
      <w:r>
        <w:rPr>
          <w:rFonts w:hint="eastAsia" w:ascii="仿宋_GB2312" w:hAnsi="仿宋_GB2312" w:eastAsia="仿宋_GB2312" w:cs="仿宋_GB2312"/>
          <w:bCs/>
          <w:szCs w:val="32"/>
          <w:lang w:val="zh-CN"/>
        </w:rPr>
        <w:fldChar w:fldCharType="separate"/>
      </w:r>
      <w:r>
        <w:rPr>
          <w:rFonts w:hint="eastAsia" w:ascii="黑体" w:hAnsi="黑体" w:eastAsia="黑体"/>
          <w:bCs w:val="0"/>
          <w:szCs w:val="32"/>
          <w:highlight w:val="none"/>
        </w:rPr>
        <w:t>第十一章 推进安全体系和能力现代化，建设更高水平平安台儿庄</w:t>
      </w:r>
      <w:r>
        <w:tab/>
      </w:r>
      <w:r>
        <w:fldChar w:fldCharType="begin"/>
      </w:r>
      <w:r>
        <w:instrText xml:space="preserve"> PAGEREF _Toc4462 \h </w:instrText>
      </w:r>
      <w:r>
        <w:fldChar w:fldCharType="separate"/>
      </w:r>
      <w:r>
        <w:t>- 102 -</w:t>
      </w:r>
      <w:r>
        <w:fldChar w:fldCharType="end"/>
      </w:r>
      <w:r>
        <w:rPr>
          <w:rFonts w:hint="eastAsia" w:ascii="仿宋_GB2312" w:hAnsi="仿宋_GB2312" w:eastAsia="仿宋_GB2312" w:cs="仿宋_GB2312"/>
          <w:bCs/>
          <w:color w:val="auto"/>
          <w:szCs w:val="32"/>
          <w:lang w:val="zh-CN"/>
        </w:rPr>
        <w:fldChar w:fldCharType="end"/>
      </w:r>
    </w:p>
    <w:p w14:paraId="59CF3EED">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_Toc14774 </w:instrText>
      </w:r>
      <w:r>
        <w:rPr>
          <w:rFonts w:hint="eastAsia" w:ascii="仿宋_GB2312" w:hAnsi="仿宋_GB2312" w:eastAsia="仿宋_GB2312" w:cs="仿宋_GB2312"/>
          <w:bCs/>
          <w:szCs w:val="32"/>
          <w:lang w:val="zh-CN"/>
        </w:rPr>
        <w:fldChar w:fldCharType="separate"/>
      </w:r>
      <w:r>
        <w:rPr>
          <w:rFonts w:hint="eastAsia"/>
          <w:highlight w:val="none"/>
        </w:rPr>
        <w:t>第一节</w:t>
      </w:r>
      <w:r>
        <w:rPr>
          <w:highlight w:val="none"/>
        </w:rPr>
        <w:t xml:space="preserve"> </w:t>
      </w:r>
      <w:r>
        <w:rPr>
          <w:rFonts w:hint="eastAsia"/>
          <w:highlight w:val="none"/>
        </w:rPr>
        <w:t>加强重点领域安全能力建设</w:t>
      </w:r>
      <w:r>
        <w:tab/>
      </w:r>
      <w:r>
        <w:fldChar w:fldCharType="begin"/>
      </w:r>
      <w:r>
        <w:instrText xml:space="preserve"> PAGEREF _Toc14774 \h </w:instrText>
      </w:r>
      <w:r>
        <w:fldChar w:fldCharType="separate"/>
      </w:r>
      <w:r>
        <w:t>- 102 -</w:t>
      </w:r>
      <w:r>
        <w:fldChar w:fldCharType="end"/>
      </w:r>
      <w:r>
        <w:rPr>
          <w:rFonts w:hint="eastAsia" w:ascii="仿宋_GB2312" w:hAnsi="仿宋_GB2312" w:eastAsia="仿宋_GB2312" w:cs="仿宋_GB2312"/>
          <w:bCs/>
          <w:color w:val="auto"/>
          <w:szCs w:val="32"/>
          <w:lang w:val="zh-CN"/>
        </w:rPr>
        <w:fldChar w:fldCharType="end"/>
      </w:r>
    </w:p>
    <w:p w14:paraId="399D7D84">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_Toc8788 </w:instrText>
      </w:r>
      <w:r>
        <w:rPr>
          <w:rFonts w:hint="eastAsia" w:ascii="仿宋_GB2312" w:hAnsi="仿宋_GB2312" w:eastAsia="仿宋_GB2312" w:cs="仿宋_GB2312"/>
          <w:bCs/>
          <w:szCs w:val="32"/>
          <w:lang w:val="zh-CN"/>
        </w:rPr>
        <w:fldChar w:fldCharType="separate"/>
      </w:r>
      <w:r>
        <w:rPr>
          <w:rFonts w:hint="eastAsia"/>
          <w:highlight w:val="none"/>
        </w:rPr>
        <w:t>第二节</w:t>
      </w:r>
      <w:r>
        <w:rPr>
          <w:highlight w:val="none"/>
        </w:rPr>
        <w:t xml:space="preserve"> </w:t>
      </w:r>
      <w:r>
        <w:rPr>
          <w:rFonts w:hint="eastAsia"/>
          <w:highlight w:val="none"/>
        </w:rPr>
        <w:t>提高公共安全治理水平</w:t>
      </w:r>
      <w:r>
        <w:tab/>
      </w:r>
      <w:r>
        <w:fldChar w:fldCharType="begin"/>
      </w:r>
      <w:r>
        <w:instrText xml:space="preserve"> PAGEREF _Toc8788 \h </w:instrText>
      </w:r>
      <w:r>
        <w:fldChar w:fldCharType="separate"/>
      </w:r>
      <w:r>
        <w:t>- 103 -</w:t>
      </w:r>
      <w:r>
        <w:fldChar w:fldCharType="end"/>
      </w:r>
      <w:r>
        <w:rPr>
          <w:rFonts w:hint="eastAsia" w:ascii="仿宋_GB2312" w:hAnsi="仿宋_GB2312" w:eastAsia="仿宋_GB2312" w:cs="仿宋_GB2312"/>
          <w:bCs/>
          <w:color w:val="auto"/>
          <w:szCs w:val="32"/>
          <w:lang w:val="zh-CN"/>
        </w:rPr>
        <w:fldChar w:fldCharType="end"/>
      </w:r>
    </w:p>
    <w:p w14:paraId="627BDD4C">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_Toc1162 </w:instrText>
      </w:r>
      <w:r>
        <w:rPr>
          <w:rFonts w:hint="eastAsia" w:ascii="仿宋_GB2312" w:hAnsi="仿宋_GB2312" w:eastAsia="仿宋_GB2312" w:cs="仿宋_GB2312"/>
          <w:bCs/>
          <w:szCs w:val="32"/>
          <w:lang w:val="zh-CN"/>
        </w:rPr>
        <w:fldChar w:fldCharType="separate"/>
      </w:r>
      <w:r>
        <w:rPr>
          <w:rFonts w:hint="eastAsia"/>
          <w:highlight w:val="none"/>
        </w:rPr>
        <w:t>第三节 建设基层治理创新实验区</w:t>
      </w:r>
      <w:r>
        <w:tab/>
      </w:r>
      <w:r>
        <w:fldChar w:fldCharType="begin"/>
      </w:r>
      <w:r>
        <w:instrText xml:space="preserve"> PAGEREF _Toc1162 \h </w:instrText>
      </w:r>
      <w:r>
        <w:fldChar w:fldCharType="separate"/>
      </w:r>
      <w:r>
        <w:t>- 106 -</w:t>
      </w:r>
      <w:r>
        <w:fldChar w:fldCharType="end"/>
      </w:r>
      <w:r>
        <w:rPr>
          <w:rFonts w:hint="eastAsia" w:ascii="仿宋_GB2312" w:hAnsi="仿宋_GB2312" w:eastAsia="仿宋_GB2312" w:cs="仿宋_GB2312"/>
          <w:bCs/>
          <w:color w:val="auto"/>
          <w:szCs w:val="32"/>
          <w:lang w:val="zh-CN"/>
        </w:rPr>
        <w:fldChar w:fldCharType="end"/>
      </w:r>
    </w:p>
    <w:p w14:paraId="045A4048">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_Toc2153 </w:instrText>
      </w:r>
      <w:r>
        <w:rPr>
          <w:rFonts w:hint="eastAsia" w:ascii="仿宋_GB2312" w:hAnsi="仿宋_GB2312" w:eastAsia="仿宋_GB2312" w:cs="仿宋_GB2312"/>
          <w:bCs/>
          <w:szCs w:val="32"/>
          <w:lang w:val="zh-CN"/>
        </w:rPr>
        <w:fldChar w:fldCharType="separate"/>
      </w:r>
      <w:r>
        <w:rPr>
          <w:rFonts w:hint="eastAsia"/>
          <w:highlight w:val="none"/>
        </w:rPr>
        <w:t>第四节 建设更高水平法治台儿庄</w:t>
      </w:r>
      <w:r>
        <w:tab/>
      </w:r>
      <w:r>
        <w:fldChar w:fldCharType="begin"/>
      </w:r>
      <w:r>
        <w:instrText xml:space="preserve"> PAGEREF _Toc2153 \h </w:instrText>
      </w:r>
      <w:r>
        <w:fldChar w:fldCharType="separate"/>
      </w:r>
      <w:r>
        <w:t>- 108 -</w:t>
      </w:r>
      <w:r>
        <w:fldChar w:fldCharType="end"/>
      </w:r>
      <w:r>
        <w:rPr>
          <w:rFonts w:hint="eastAsia" w:ascii="仿宋_GB2312" w:hAnsi="仿宋_GB2312" w:eastAsia="仿宋_GB2312" w:cs="仿宋_GB2312"/>
          <w:bCs/>
          <w:color w:val="auto"/>
          <w:szCs w:val="32"/>
          <w:lang w:val="zh-CN"/>
        </w:rPr>
        <w:fldChar w:fldCharType="end"/>
      </w:r>
    </w:p>
    <w:p w14:paraId="1373F6EC">
      <w:pPr>
        <w:pStyle w:val="15"/>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_Toc16699 </w:instrText>
      </w:r>
      <w:r>
        <w:rPr>
          <w:rFonts w:hint="eastAsia" w:ascii="仿宋_GB2312" w:hAnsi="仿宋_GB2312" w:eastAsia="仿宋_GB2312" w:cs="仿宋_GB2312"/>
          <w:bCs/>
          <w:szCs w:val="32"/>
          <w:lang w:val="zh-CN"/>
        </w:rPr>
        <w:fldChar w:fldCharType="separate"/>
      </w:r>
      <w:r>
        <w:rPr>
          <w:rFonts w:hint="eastAsia" w:ascii="黑体" w:hAnsi="黑体" w:eastAsia="黑体"/>
          <w:bCs w:val="0"/>
          <w:szCs w:val="32"/>
          <w:highlight w:val="none"/>
        </w:rPr>
        <w:t>第十二章 加强规划实施保障，凝心聚力实现“十五五”目标任务</w:t>
      </w:r>
      <w:r>
        <w:tab/>
      </w:r>
      <w:r>
        <w:fldChar w:fldCharType="begin"/>
      </w:r>
      <w:r>
        <w:instrText xml:space="preserve"> PAGEREF _Toc16699 \h </w:instrText>
      </w:r>
      <w:r>
        <w:fldChar w:fldCharType="separate"/>
      </w:r>
      <w:r>
        <w:t>- 111 -</w:t>
      </w:r>
      <w:r>
        <w:fldChar w:fldCharType="end"/>
      </w:r>
      <w:r>
        <w:rPr>
          <w:rFonts w:hint="eastAsia" w:ascii="仿宋_GB2312" w:hAnsi="仿宋_GB2312" w:eastAsia="仿宋_GB2312" w:cs="仿宋_GB2312"/>
          <w:bCs/>
          <w:color w:val="auto"/>
          <w:szCs w:val="32"/>
          <w:lang w:val="zh-CN"/>
        </w:rPr>
        <w:fldChar w:fldCharType="end"/>
      </w:r>
    </w:p>
    <w:p w14:paraId="63DACF7C">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_Toc15781 </w:instrText>
      </w:r>
      <w:r>
        <w:rPr>
          <w:rFonts w:hint="eastAsia" w:ascii="仿宋_GB2312" w:hAnsi="仿宋_GB2312" w:eastAsia="仿宋_GB2312" w:cs="仿宋_GB2312"/>
          <w:bCs/>
          <w:szCs w:val="32"/>
          <w:lang w:val="zh-CN"/>
        </w:rPr>
        <w:fldChar w:fldCharType="separate"/>
      </w:r>
      <w:r>
        <w:rPr>
          <w:rFonts w:hint="eastAsia"/>
          <w:highlight w:val="none"/>
        </w:rPr>
        <w:t>第一节 加强党的全面领导</w:t>
      </w:r>
      <w:r>
        <w:tab/>
      </w:r>
      <w:r>
        <w:fldChar w:fldCharType="begin"/>
      </w:r>
      <w:r>
        <w:instrText xml:space="preserve"> PAGEREF _Toc15781 \h </w:instrText>
      </w:r>
      <w:r>
        <w:fldChar w:fldCharType="separate"/>
      </w:r>
      <w:r>
        <w:t>- 111 -</w:t>
      </w:r>
      <w:r>
        <w:fldChar w:fldCharType="end"/>
      </w:r>
      <w:r>
        <w:rPr>
          <w:rFonts w:hint="eastAsia" w:ascii="仿宋_GB2312" w:hAnsi="仿宋_GB2312" w:eastAsia="仿宋_GB2312" w:cs="仿宋_GB2312"/>
          <w:bCs/>
          <w:color w:val="auto"/>
          <w:szCs w:val="32"/>
          <w:lang w:val="zh-CN"/>
        </w:rPr>
        <w:fldChar w:fldCharType="end"/>
      </w:r>
    </w:p>
    <w:p w14:paraId="7527543D">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_Toc14129 </w:instrText>
      </w:r>
      <w:r>
        <w:rPr>
          <w:rFonts w:hint="eastAsia" w:ascii="仿宋_GB2312" w:hAnsi="仿宋_GB2312" w:eastAsia="仿宋_GB2312" w:cs="仿宋_GB2312"/>
          <w:bCs/>
          <w:szCs w:val="32"/>
          <w:lang w:val="zh-CN"/>
        </w:rPr>
        <w:fldChar w:fldCharType="separate"/>
      </w:r>
      <w:r>
        <w:rPr>
          <w:rFonts w:hint="eastAsia"/>
          <w:highlight w:val="none"/>
        </w:rPr>
        <w:t>第二节 建立统一规划体系</w:t>
      </w:r>
      <w:r>
        <w:tab/>
      </w:r>
      <w:r>
        <w:fldChar w:fldCharType="begin"/>
      </w:r>
      <w:r>
        <w:instrText xml:space="preserve"> PAGEREF _Toc14129 \h </w:instrText>
      </w:r>
      <w:r>
        <w:fldChar w:fldCharType="separate"/>
      </w:r>
      <w:r>
        <w:t>- 112 -</w:t>
      </w:r>
      <w:r>
        <w:fldChar w:fldCharType="end"/>
      </w:r>
      <w:r>
        <w:rPr>
          <w:rFonts w:hint="eastAsia" w:ascii="仿宋_GB2312" w:hAnsi="仿宋_GB2312" w:eastAsia="仿宋_GB2312" w:cs="仿宋_GB2312"/>
          <w:bCs/>
          <w:color w:val="auto"/>
          <w:szCs w:val="32"/>
          <w:lang w:val="zh-CN"/>
        </w:rPr>
        <w:fldChar w:fldCharType="end"/>
      </w:r>
    </w:p>
    <w:p w14:paraId="4EB8295F">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_Toc5089 </w:instrText>
      </w:r>
      <w:r>
        <w:rPr>
          <w:rFonts w:hint="eastAsia" w:ascii="仿宋_GB2312" w:hAnsi="仿宋_GB2312" w:eastAsia="仿宋_GB2312" w:cs="仿宋_GB2312"/>
          <w:bCs/>
          <w:szCs w:val="32"/>
          <w:lang w:val="zh-CN"/>
        </w:rPr>
        <w:fldChar w:fldCharType="separate"/>
      </w:r>
      <w:r>
        <w:rPr>
          <w:rFonts w:hint="eastAsia"/>
          <w:highlight w:val="none"/>
        </w:rPr>
        <w:t>第三节 健全规划实施机制</w:t>
      </w:r>
      <w:r>
        <w:tab/>
      </w:r>
      <w:r>
        <w:fldChar w:fldCharType="begin"/>
      </w:r>
      <w:r>
        <w:instrText xml:space="preserve"> PAGEREF _Toc5089 \h </w:instrText>
      </w:r>
      <w:r>
        <w:fldChar w:fldCharType="separate"/>
      </w:r>
      <w:r>
        <w:t>- 112 -</w:t>
      </w:r>
      <w:r>
        <w:fldChar w:fldCharType="end"/>
      </w:r>
      <w:r>
        <w:rPr>
          <w:rFonts w:hint="eastAsia" w:ascii="仿宋_GB2312" w:hAnsi="仿宋_GB2312" w:eastAsia="仿宋_GB2312" w:cs="仿宋_GB2312"/>
          <w:bCs/>
          <w:color w:val="auto"/>
          <w:szCs w:val="32"/>
          <w:lang w:val="zh-CN"/>
        </w:rPr>
        <w:fldChar w:fldCharType="end"/>
      </w:r>
    </w:p>
    <w:p w14:paraId="09E2AD27">
      <w:pPr>
        <w:pStyle w:val="17"/>
        <w:tabs>
          <w:tab w:val="right" w:leader="dot" w:pos="8306"/>
        </w:tabs>
      </w:pPr>
      <w:r>
        <w:rPr>
          <w:rFonts w:hint="eastAsia" w:ascii="仿宋_GB2312" w:hAnsi="仿宋_GB2312" w:eastAsia="仿宋_GB2312" w:cs="仿宋_GB2312"/>
          <w:bCs/>
          <w:color w:val="auto"/>
          <w:szCs w:val="32"/>
          <w:lang w:val="zh-CN"/>
        </w:rPr>
        <w:fldChar w:fldCharType="begin"/>
      </w:r>
      <w:r>
        <w:rPr>
          <w:rFonts w:hint="eastAsia" w:ascii="仿宋_GB2312" w:hAnsi="仿宋_GB2312" w:eastAsia="仿宋_GB2312" w:cs="仿宋_GB2312"/>
          <w:bCs/>
          <w:szCs w:val="32"/>
          <w:lang w:val="zh-CN"/>
        </w:rPr>
        <w:instrText xml:space="preserve"> HYPERLINK \l _Toc8394 </w:instrText>
      </w:r>
      <w:r>
        <w:rPr>
          <w:rFonts w:hint="eastAsia" w:ascii="仿宋_GB2312" w:hAnsi="仿宋_GB2312" w:eastAsia="仿宋_GB2312" w:cs="仿宋_GB2312"/>
          <w:bCs/>
          <w:szCs w:val="32"/>
          <w:lang w:val="zh-CN"/>
        </w:rPr>
        <w:fldChar w:fldCharType="separate"/>
      </w:r>
      <w:r>
        <w:rPr>
          <w:rFonts w:hint="eastAsia"/>
          <w:highlight w:val="none"/>
        </w:rPr>
        <w:t>第四节 加强规划实施监督</w:t>
      </w:r>
      <w:r>
        <w:tab/>
      </w:r>
      <w:r>
        <w:fldChar w:fldCharType="begin"/>
      </w:r>
      <w:r>
        <w:instrText xml:space="preserve"> PAGEREF _Toc8394 \h </w:instrText>
      </w:r>
      <w:r>
        <w:fldChar w:fldCharType="separate"/>
      </w:r>
      <w:r>
        <w:t>- 113 -</w:t>
      </w:r>
      <w:r>
        <w:fldChar w:fldCharType="end"/>
      </w:r>
      <w:r>
        <w:rPr>
          <w:rFonts w:hint="eastAsia" w:ascii="仿宋_GB2312" w:hAnsi="仿宋_GB2312" w:eastAsia="仿宋_GB2312" w:cs="仿宋_GB2312"/>
          <w:bCs/>
          <w:color w:val="auto"/>
          <w:szCs w:val="32"/>
          <w:lang w:val="zh-CN"/>
        </w:rPr>
        <w:fldChar w:fldCharType="end"/>
      </w:r>
    </w:p>
    <w:p w14:paraId="423BC1B6">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outlineLvl w:val="9"/>
        <w:rPr>
          <w:bCs/>
          <w:color w:val="auto"/>
          <w:szCs w:val="30"/>
          <w:lang w:val="zh-CN"/>
        </w:rPr>
        <w:sectPr>
          <w:footerReference r:id="rId7" w:type="default"/>
          <w:footnotePr>
            <w:numFmt w:val="decimalEnclosedCircleChinese"/>
            <w:numRestart w:val="eachPage"/>
          </w:footnotePr>
          <w:pgSz w:w="11906" w:h="16838"/>
          <w:pgMar w:top="1440" w:right="1800" w:bottom="1440" w:left="1800" w:header="851" w:footer="992" w:gutter="0"/>
          <w:pgNumType w:fmt="numberInDash" w:start="1"/>
          <w:cols w:space="720" w:num="1"/>
          <w:docGrid w:type="lines" w:linePitch="312" w:charSpace="0"/>
        </w:sectPr>
      </w:pPr>
      <w:r>
        <w:rPr>
          <w:rFonts w:hint="eastAsia" w:ascii="仿宋_GB2312" w:hAnsi="仿宋_GB2312" w:eastAsia="仿宋_GB2312" w:cs="仿宋_GB2312"/>
          <w:bCs/>
          <w:color w:val="auto"/>
          <w:szCs w:val="32"/>
          <w:lang w:val="zh-CN"/>
        </w:rPr>
        <w:fldChar w:fldCharType="end"/>
      </w:r>
    </w:p>
    <w:p w14:paraId="16CFC8B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sectPr>
          <w:footerReference r:id="rId8" w:type="default"/>
          <w:footnotePr>
            <w:numFmt w:val="decimalEnclosedCircleChinese"/>
            <w:numRestart w:val="eachPage"/>
          </w:footnotePr>
          <w:pgSz w:w="11906" w:h="16838"/>
          <w:pgMar w:top="1440" w:right="1800" w:bottom="1440" w:left="1800" w:header="851" w:footer="992" w:gutter="0"/>
          <w:pgNumType w:fmt="numberInDash" w:start="1"/>
          <w:cols w:space="720" w:num="1"/>
          <w:docGrid w:type="lines" w:linePitch="312" w:charSpace="0"/>
        </w:sectPr>
      </w:pPr>
    </w:p>
    <w:p w14:paraId="1911AB6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“十五五”时期是我国基本实现社会主义现代化承上启下的关键时期</w:t>
      </w:r>
      <w:r>
        <w:rPr>
          <w:rFonts w:hint="eastAsia" w:ascii="仿宋_GB2312" w:hAnsi="仿宋_GB2312" w:eastAsia="仿宋_GB2312" w:cs="仿宋_GB2312"/>
          <w:color w:val="auto"/>
          <w:sz w:val="32"/>
          <w:szCs w:val="32"/>
          <w:lang w:eastAsia="zh-CN"/>
        </w:rPr>
        <w:t>，也</w:t>
      </w:r>
      <w:r>
        <w:rPr>
          <w:rFonts w:hint="eastAsia" w:ascii="仿宋_GB2312" w:hAnsi="仿宋_GB2312" w:eastAsia="仿宋_GB2312" w:cs="仿宋_GB2312"/>
          <w:color w:val="auto"/>
          <w:sz w:val="32"/>
          <w:szCs w:val="32"/>
        </w:rPr>
        <w:t>是台儿庄延续良好发展态势、加快跨越</w:t>
      </w:r>
      <w:r>
        <w:rPr>
          <w:rFonts w:hint="eastAsia" w:ascii="仿宋_GB2312" w:hAnsi="仿宋_GB2312" w:eastAsia="仿宋_GB2312" w:cs="仿宋_GB2312"/>
          <w:color w:val="auto"/>
          <w:sz w:val="32"/>
          <w:szCs w:val="32"/>
          <w:lang w:val="en-US" w:eastAsia="zh-CN"/>
        </w:rPr>
        <w:t>发展</w:t>
      </w:r>
      <w:r>
        <w:rPr>
          <w:rFonts w:hint="eastAsia" w:ascii="仿宋_GB2312" w:hAnsi="仿宋_GB2312" w:eastAsia="仿宋_GB2312" w:cs="仿宋_GB2312"/>
          <w:color w:val="auto"/>
          <w:sz w:val="32"/>
          <w:szCs w:val="32"/>
        </w:rPr>
        <w:t>的重要窗口期。</w:t>
      </w:r>
      <w:r>
        <w:rPr>
          <w:rFonts w:hint="eastAsia" w:ascii="仿宋_GB2312" w:hAnsi="仿宋_GB2312" w:eastAsia="仿宋_GB2312" w:cs="仿宋_GB2312"/>
          <w:color w:val="auto"/>
          <w:sz w:val="32"/>
          <w:szCs w:val="32"/>
          <w:highlight w:val="none"/>
        </w:rPr>
        <w:t>本纲要</w:t>
      </w:r>
      <w:r>
        <w:rPr>
          <w:rFonts w:hint="eastAsia" w:ascii="仿宋_GB2312" w:hAnsi="仿宋_GB2312" w:eastAsia="仿宋_GB2312" w:cs="仿宋_GB2312"/>
          <w:color w:val="auto"/>
          <w:sz w:val="32"/>
          <w:szCs w:val="32"/>
        </w:rPr>
        <w:t>主要阐明全区“十五五”发展战略意图，明确政府工作重点，引导市场主体行为，是未来五年台儿庄区经济社会发展的宏伟蓝图，是政府履行职能的重要依据，是全区人民共同奋斗的行动纲领。</w:t>
      </w:r>
    </w:p>
    <w:p w14:paraId="13C713E0">
      <w:pPr>
        <w:pStyle w:val="5"/>
        <w:pageBreakBefore w:val="0"/>
        <w:widowControl w:val="0"/>
        <w:kinsoku/>
        <w:wordWrap/>
        <w:overflowPunct/>
        <w:topLinePunct w:val="0"/>
        <w:autoSpaceDE/>
        <w:autoSpaceDN/>
        <w:bidi w:val="0"/>
        <w:adjustRightInd w:val="0"/>
        <w:snapToGrid w:val="0"/>
        <w:spacing w:before="240" w:after="240" w:line="600" w:lineRule="exact"/>
        <w:jc w:val="center"/>
        <w:textAlignment w:val="auto"/>
        <w:rPr>
          <w:rFonts w:ascii="黑体" w:hAnsi="黑体" w:eastAsia="黑体"/>
          <w:b w:val="0"/>
          <w:bCs w:val="0"/>
          <w:color w:val="auto"/>
          <w:sz w:val="32"/>
          <w:szCs w:val="32"/>
        </w:rPr>
      </w:pPr>
      <w:bookmarkStart w:id="0" w:name="_Toc29277"/>
      <w:r>
        <w:rPr>
          <w:rFonts w:hint="eastAsia" w:ascii="黑体" w:hAnsi="黑体" w:eastAsia="黑体"/>
          <w:b w:val="0"/>
          <w:bCs w:val="0"/>
          <w:color w:val="auto"/>
          <w:sz w:val="32"/>
          <w:szCs w:val="32"/>
        </w:rPr>
        <w:t xml:space="preserve">第一章 </w:t>
      </w:r>
      <w:r>
        <w:rPr>
          <w:rFonts w:hint="eastAsia" w:ascii="黑体" w:hAnsi="黑体" w:eastAsia="黑体"/>
          <w:b w:val="0"/>
          <w:bCs w:val="0"/>
          <w:color w:val="auto"/>
          <w:sz w:val="32"/>
          <w:szCs w:val="32"/>
          <w:lang w:val="en-US" w:eastAsia="zh-CN"/>
        </w:rPr>
        <w:t xml:space="preserve"> </w:t>
      </w:r>
      <w:r>
        <w:rPr>
          <w:rFonts w:hint="eastAsia" w:ascii="黑体" w:hAnsi="黑体" w:eastAsia="黑体"/>
          <w:b w:val="0"/>
          <w:bCs w:val="0"/>
          <w:color w:val="auto"/>
          <w:sz w:val="32"/>
          <w:szCs w:val="32"/>
        </w:rPr>
        <w:t>站在新起点，奋力谱写现代化强区建设新篇章</w:t>
      </w:r>
      <w:bookmarkEnd w:id="0"/>
    </w:p>
    <w:p w14:paraId="2A4F660C">
      <w:pPr>
        <w:pStyle w:val="6"/>
        <w:pageBreakBefore w:val="0"/>
        <w:widowControl w:val="0"/>
        <w:kinsoku/>
        <w:wordWrap/>
        <w:overflowPunct/>
        <w:topLinePunct w:val="0"/>
        <w:autoSpaceDE/>
        <w:autoSpaceDN/>
        <w:bidi w:val="0"/>
        <w:spacing w:line="600" w:lineRule="exact"/>
        <w:textAlignment w:val="auto"/>
        <w:rPr>
          <w:rFonts w:hint="eastAsia"/>
          <w:color w:val="auto"/>
        </w:rPr>
      </w:pPr>
      <w:bookmarkStart w:id="1" w:name="_Toc30030"/>
      <w:r>
        <w:rPr>
          <w:rFonts w:hint="eastAsia"/>
          <w:color w:val="auto"/>
        </w:rPr>
        <w:t>第一节“十四五”时期跨越发展取得新突破</w:t>
      </w:r>
      <w:bookmarkEnd w:id="1"/>
    </w:p>
    <w:p w14:paraId="35F27511">
      <w:pPr>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“十四五”以来，面对国内外形势的复杂深刻变化和艰巨繁重的改革发展稳定任务，</w:t>
      </w:r>
      <w:r>
        <w:rPr>
          <w:rFonts w:hint="eastAsia" w:ascii="仿宋_GB2312" w:hAnsi="仿宋_GB2312" w:eastAsia="仿宋_GB2312" w:cs="仿宋_GB2312"/>
          <w:color w:val="auto"/>
          <w:sz w:val="32"/>
          <w:szCs w:val="32"/>
          <w:lang w:eastAsia="zh-CN"/>
        </w:rPr>
        <w:t>区委、区政府</w:t>
      </w:r>
      <w:r>
        <w:rPr>
          <w:rFonts w:hint="eastAsia" w:ascii="仿宋_GB2312" w:hAnsi="仿宋_GB2312" w:eastAsia="仿宋_GB2312" w:cs="仿宋_GB2312"/>
          <w:color w:val="auto"/>
          <w:sz w:val="32"/>
          <w:szCs w:val="32"/>
        </w:rPr>
        <w:t>在以习近平同志为核心的党中央坚强领导下，团结带领全区各级党组织和广大党员干部群众，深入学习贯彻党的二十大和二十届</w:t>
      </w:r>
      <w:r>
        <w:rPr>
          <w:rFonts w:hint="eastAsia" w:ascii="仿宋_GB2312" w:hAnsi="仿宋_GB2312" w:eastAsia="仿宋_GB2312" w:cs="仿宋_GB2312"/>
          <w:color w:val="auto"/>
          <w:sz w:val="32"/>
          <w:szCs w:val="32"/>
          <w:lang w:val="en-US" w:eastAsia="zh-CN"/>
        </w:rPr>
        <w:t>历次</w:t>
      </w:r>
      <w:r>
        <w:rPr>
          <w:rFonts w:hint="eastAsia" w:ascii="仿宋_GB2312" w:hAnsi="仿宋_GB2312" w:eastAsia="仿宋_GB2312" w:cs="仿宋_GB2312"/>
          <w:color w:val="auto"/>
          <w:sz w:val="32"/>
          <w:szCs w:val="32"/>
        </w:rPr>
        <w:t>全会精神，锚定“走在前、挑大梁”，聚焦“强工兴产、项目突破”目标，统筹做好稳增长、促改革、惠民生、保稳定各项工作，坚定不移深化全面从严治党，在现代化强区建设征程上迈出坚实步伐，为“十五五”时期发展打下了良好基础。</w:t>
      </w:r>
    </w:p>
    <w:p w14:paraId="69177198">
      <w:pPr>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
          <w:color w:val="auto"/>
          <w:sz w:val="32"/>
          <w:szCs w:val="32"/>
        </w:rPr>
        <w:t>——综合实力迈上新台阶。</w:t>
      </w:r>
      <w:r>
        <w:rPr>
          <w:rFonts w:hint="eastAsia" w:ascii="仿宋_GB2312" w:hAnsi="仿宋_GB2312" w:eastAsia="仿宋_GB2312" w:cs="仿宋_GB2312"/>
          <w:color w:val="auto"/>
          <w:sz w:val="32"/>
          <w:szCs w:val="32"/>
        </w:rPr>
        <w:t>坚持全力以赴拼经济、纲举目张抓发展，主要经济指标稳健向好、进中提质，增速高于全省平均水平、位居全市前列。</w:t>
      </w:r>
      <w:r>
        <w:rPr>
          <w:rFonts w:hint="eastAsia" w:ascii="仿宋_GB2312" w:hAnsi="仿宋_GB2312" w:eastAsia="仿宋_GB2312" w:cs="仿宋_GB2312"/>
          <w:color w:val="auto"/>
          <w:sz w:val="32"/>
          <w:szCs w:val="32"/>
          <w:highlight w:val="none"/>
        </w:rPr>
        <w:t>2025年全区地区生产总值达到180</w:t>
      </w:r>
      <w:r>
        <w:rPr>
          <w:rFonts w:hint="eastAsia" w:ascii="仿宋_GB2312" w:hAnsi="仿宋_GB2312" w:eastAsia="仿宋_GB2312" w:cs="仿宋_GB2312"/>
          <w:color w:val="auto"/>
          <w:sz w:val="32"/>
          <w:szCs w:val="32"/>
          <w:highlight w:val="none"/>
          <w:lang w:val="en-US" w:eastAsia="zh-CN"/>
        </w:rPr>
        <w:t>.17</w:t>
      </w:r>
      <w:r>
        <w:rPr>
          <w:rFonts w:hint="eastAsia" w:ascii="仿宋_GB2312" w:hAnsi="仿宋_GB2312" w:eastAsia="仿宋_GB2312" w:cs="仿宋_GB2312"/>
          <w:color w:val="auto"/>
          <w:sz w:val="32"/>
          <w:szCs w:val="32"/>
          <w:highlight w:val="none"/>
        </w:rPr>
        <w:t>亿元，“十四五”以来年均增长</w:t>
      </w:r>
      <w:r>
        <w:rPr>
          <w:rFonts w:hint="eastAsia" w:ascii="仿宋_GB2312" w:hAnsi="仿宋_GB2312" w:eastAsia="仿宋_GB2312" w:cs="仿宋_GB2312"/>
          <w:color w:val="auto"/>
          <w:sz w:val="32"/>
          <w:szCs w:val="32"/>
          <w:highlight w:val="none"/>
          <w:lang w:val="en-US" w:eastAsia="zh-CN"/>
        </w:rPr>
        <w:t>7.1</w:t>
      </w:r>
      <w:r>
        <w:rPr>
          <w:rFonts w:hint="eastAsia" w:ascii="仿宋_GB2312" w:hAnsi="仿宋_GB2312" w:eastAsia="仿宋_GB2312" w:cs="仿宋_GB2312"/>
          <w:color w:val="auto"/>
          <w:sz w:val="32"/>
          <w:szCs w:val="32"/>
          <w:highlight w:val="none"/>
        </w:rPr>
        <w:t>%，</w:t>
      </w:r>
      <w:r>
        <w:rPr>
          <w:rFonts w:hint="eastAsia" w:ascii="仿宋_GB2312" w:hAnsi="Times New Roman" w:eastAsia="仿宋_GB2312"/>
          <w:sz w:val="32"/>
          <w:szCs w:val="32"/>
          <w:highlight w:val="none"/>
          <w:lang w:val="en-US" w:eastAsia="zh-CN"/>
        </w:rPr>
        <w:t>2025年</w:t>
      </w:r>
      <w:r>
        <w:rPr>
          <w:rFonts w:hint="eastAsia" w:ascii="仿宋_GB2312" w:hAnsi="Times New Roman" w:eastAsia="仿宋_GB2312"/>
          <w:sz w:val="32"/>
          <w:szCs w:val="32"/>
          <w:highlight w:val="none"/>
        </w:rPr>
        <w:t>占全市地区生产总值的比重</w:t>
      </w:r>
      <w:r>
        <w:rPr>
          <w:rFonts w:hint="eastAsia" w:ascii="仿宋_GB2312" w:hAnsi="Times New Roman" w:eastAsia="仿宋_GB2312"/>
          <w:sz w:val="32"/>
          <w:szCs w:val="32"/>
          <w:highlight w:val="none"/>
          <w:lang w:val="en-US" w:eastAsia="zh-CN"/>
        </w:rPr>
        <w:t>较2020年</w:t>
      </w:r>
      <w:r>
        <w:rPr>
          <w:rFonts w:hint="eastAsia" w:ascii="仿宋_GB2312" w:hAnsi="Times New Roman" w:eastAsia="仿宋_GB2312"/>
          <w:sz w:val="32"/>
          <w:szCs w:val="32"/>
          <w:highlight w:val="none"/>
        </w:rPr>
        <w:t>提高0.</w:t>
      </w:r>
      <w:r>
        <w:rPr>
          <w:rFonts w:hint="eastAsia" w:ascii="仿宋_GB2312" w:hAnsi="Times New Roman" w:eastAsia="仿宋_GB2312"/>
          <w:sz w:val="32"/>
          <w:szCs w:val="32"/>
          <w:highlight w:val="none"/>
          <w:lang w:val="en-US" w:eastAsia="zh-CN"/>
        </w:rPr>
        <w:t>26</w:t>
      </w:r>
      <w:r>
        <w:rPr>
          <w:rFonts w:hint="eastAsia" w:ascii="仿宋_GB2312" w:hAnsi="Times New Roman" w:eastAsia="仿宋_GB2312"/>
          <w:sz w:val="32"/>
          <w:szCs w:val="32"/>
          <w:highlight w:val="none"/>
        </w:rPr>
        <w:t>个百分点</w:t>
      </w:r>
      <w:r>
        <w:rPr>
          <w:rFonts w:hint="eastAsia" w:ascii="仿宋_GB2312" w:hAnsi="仿宋_GB2312" w:eastAsia="仿宋_GB2312" w:cs="仿宋_GB2312"/>
          <w:color w:val="auto"/>
          <w:sz w:val="32"/>
          <w:szCs w:val="32"/>
        </w:rPr>
        <w:t>。一般公共预算收入达到12.</w:t>
      </w:r>
      <w:r>
        <w:rPr>
          <w:rFonts w:hint="eastAsia" w:ascii="仿宋_GB2312" w:hAnsi="仿宋_GB2312" w:eastAsia="仿宋_GB2312" w:cs="仿宋_GB2312"/>
          <w:color w:val="auto"/>
          <w:sz w:val="32"/>
          <w:szCs w:val="32"/>
          <w:lang w:val="en-US" w:eastAsia="zh-CN"/>
        </w:rPr>
        <w:t>25</w:t>
      </w:r>
      <w:r>
        <w:rPr>
          <w:rFonts w:hint="eastAsia" w:ascii="仿宋_GB2312" w:hAnsi="仿宋_GB2312" w:eastAsia="仿宋_GB2312" w:cs="仿宋_GB2312"/>
          <w:color w:val="auto"/>
          <w:sz w:val="32"/>
          <w:szCs w:val="32"/>
        </w:rPr>
        <w:t>亿元，年均增长8.8%，税收占财政收入比重</w:t>
      </w:r>
      <w:r>
        <w:rPr>
          <w:rFonts w:hint="eastAsia" w:ascii="仿宋_GB2312" w:hAnsi="仿宋_GB2312" w:eastAsia="仿宋_GB2312" w:cs="仿宋_GB2312"/>
          <w:color w:val="auto"/>
          <w:sz w:val="32"/>
          <w:szCs w:val="32"/>
          <w:highlight w:val="none"/>
        </w:rPr>
        <w:t>达到</w:t>
      </w:r>
      <w:r>
        <w:rPr>
          <w:rFonts w:hint="eastAsia" w:ascii="仿宋_GB2312" w:hAnsi="仿宋_GB2312" w:eastAsia="仿宋_GB2312" w:cs="仿宋_GB2312"/>
          <w:color w:val="auto"/>
          <w:sz w:val="32"/>
          <w:szCs w:val="32"/>
          <w:highlight w:val="none"/>
          <w:lang w:val="en-US" w:eastAsia="zh-CN"/>
        </w:rPr>
        <w:t>60</w:t>
      </w:r>
      <w:r>
        <w:rPr>
          <w:rFonts w:hint="eastAsia" w:ascii="仿宋_GB2312" w:hAnsi="仿宋_GB2312" w:eastAsia="仿宋_GB2312" w:cs="仿宋_GB2312"/>
          <w:color w:val="auto"/>
          <w:sz w:val="32"/>
          <w:szCs w:val="32"/>
          <w:highlight w:val="none"/>
        </w:rPr>
        <w:t>%；固定资产投资年均增长</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rPr>
        <w:t>社会消费品零售总额达到</w:t>
      </w:r>
      <w:r>
        <w:rPr>
          <w:rFonts w:hint="eastAsia" w:ascii="仿宋_GB2312" w:hAnsi="仿宋_GB2312" w:eastAsia="仿宋_GB2312" w:cs="仿宋_GB2312"/>
          <w:color w:val="auto"/>
          <w:sz w:val="32"/>
          <w:szCs w:val="32"/>
          <w:lang w:val="en-US" w:eastAsia="zh-CN"/>
        </w:rPr>
        <w:t>98.96</w:t>
      </w:r>
      <w:r>
        <w:rPr>
          <w:rFonts w:hint="eastAsia" w:ascii="仿宋_GB2312" w:hAnsi="仿宋_GB2312" w:eastAsia="仿宋_GB2312" w:cs="仿宋_GB2312"/>
          <w:color w:val="auto"/>
          <w:sz w:val="32"/>
          <w:szCs w:val="32"/>
        </w:rPr>
        <w:t>亿元，年均增长</w:t>
      </w:r>
      <w:r>
        <w:rPr>
          <w:rFonts w:hint="eastAsia" w:ascii="仿宋_GB2312" w:hAnsi="仿宋_GB2312" w:eastAsia="仿宋_GB2312" w:cs="仿宋_GB2312"/>
          <w:color w:val="auto"/>
          <w:sz w:val="32"/>
          <w:szCs w:val="32"/>
          <w:lang w:val="en-US" w:eastAsia="zh-CN"/>
        </w:rPr>
        <w:t>8.2</w:t>
      </w:r>
      <w:r>
        <w:rPr>
          <w:rFonts w:hint="eastAsia" w:ascii="仿宋_GB2312" w:hAnsi="仿宋_GB2312" w:eastAsia="仿宋_GB2312" w:cs="仿宋_GB2312"/>
          <w:color w:val="auto"/>
          <w:sz w:val="32"/>
          <w:szCs w:val="32"/>
        </w:rPr>
        <w:t>%，入选全国</w:t>
      </w:r>
      <w:r>
        <w:rPr>
          <w:rFonts w:hint="eastAsia" w:ascii="仿宋_GB2312" w:hAnsi="仿宋_GB2312" w:eastAsia="仿宋_GB2312" w:cs="仿宋_GB2312"/>
          <w:color w:val="auto"/>
          <w:sz w:val="32"/>
          <w:szCs w:val="32"/>
          <w:lang w:val="en-US" w:eastAsia="zh-CN"/>
        </w:rPr>
        <w:t>第三批</w:t>
      </w:r>
      <w:r>
        <w:rPr>
          <w:rFonts w:hint="eastAsia" w:ascii="仿宋_GB2312" w:hAnsi="仿宋_GB2312" w:eastAsia="仿宋_GB2312" w:cs="仿宋_GB2312"/>
          <w:color w:val="auto"/>
          <w:sz w:val="32"/>
          <w:szCs w:val="32"/>
        </w:rPr>
        <w:t>县域商业“领跑县”</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山东省县域经济高质量发展试点，涧</w:t>
      </w:r>
      <w:r>
        <w:rPr>
          <w:rFonts w:hint="eastAsia" w:ascii="仿宋_GB2312" w:hAnsi="仿宋_GB2312" w:eastAsia="仿宋_GB2312" w:cs="仿宋_GB2312"/>
          <w:color w:val="auto"/>
          <w:sz w:val="32"/>
          <w:szCs w:val="32"/>
          <w:highlight w:val="none"/>
        </w:rPr>
        <w:t>头集镇、马兰屯镇上榜全国千强镇</w:t>
      </w:r>
      <w:r>
        <w:rPr>
          <w:rFonts w:hint="eastAsia" w:ascii="仿宋_GB2312" w:hAnsi="仿宋_GB2312" w:eastAsia="仿宋_GB2312" w:cs="仿宋_GB2312"/>
          <w:bCs/>
          <w:color w:val="auto"/>
          <w:sz w:val="32"/>
          <w:szCs w:val="32"/>
          <w:highlight w:val="none"/>
        </w:rPr>
        <w:t>。</w:t>
      </w:r>
    </w:p>
    <w:p w14:paraId="53CB8E17">
      <w:pPr>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——产业发展实现新跨越。</w:t>
      </w:r>
      <w:r>
        <w:rPr>
          <w:rFonts w:hint="eastAsia" w:ascii="仿宋_GB2312" w:hAnsi="仿宋_GB2312" w:eastAsia="仿宋_GB2312" w:cs="仿宋_GB2312"/>
          <w:color w:val="auto"/>
          <w:sz w:val="32"/>
          <w:szCs w:val="32"/>
          <w:highlight w:val="none"/>
        </w:rPr>
        <w:t>聚焦“锂机材纺纸”五大主导产业，深入实施工业倍增计划。工业经济向“新”聚能、向“质”蝶变，规模以上工业总产值突破</w:t>
      </w:r>
      <w:r>
        <w:rPr>
          <w:rFonts w:hint="eastAsia" w:ascii="仿宋_GB2312" w:hAnsi="仿宋_GB2312" w:eastAsia="仿宋_GB2312" w:cs="仿宋_GB2312"/>
          <w:color w:val="auto"/>
          <w:sz w:val="32"/>
          <w:szCs w:val="32"/>
          <w:highlight w:val="none"/>
          <w:lang w:val="en-US" w:eastAsia="zh-CN"/>
        </w:rPr>
        <w:t>171.07</w:t>
      </w:r>
      <w:r>
        <w:rPr>
          <w:rFonts w:hint="eastAsia" w:ascii="仿宋_GB2312" w:hAnsi="仿宋_GB2312" w:eastAsia="仿宋_GB2312" w:cs="仿宋_GB2312"/>
          <w:color w:val="auto"/>
          <w:sz w:val="32"/>
          <w:szCs w:val="32"/>
          <w:highlight w:val="none"/>
        </w:rPr>
        <w:t>亿元、增加值年均增长12.</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左右。突出锂电产业首位度，全力构建锂电产业生态圈，丰元股份获评省“十强”产业集群领军企业。机械和高端装备、绿色建材、纺织服装、生态造纸等产业蓬勃发展，一批投资体量大、科技含量高、带动能力强的项目建成投产。以“一扩三新”为抓手，推动传统产业转型升级、提产扩规，工业技改投资年均增长14.4%。市场主体加速壮大，规上工业企业达到</w:t>
      </w:r>
      <w:r>
        <w:rPr>
          <w:rFonts w:hint="eastAsia" w:ascii="仿宋_GB2312" w:hAnsi="仿宋_GB2312" w:eastAsia="仿宋_GB2312" w:cs="仿宋_GB2312"/>
          <w:color w:val="auto"/>
          <w:sz w:val="32"/>
          <w:szCs w:val="32"/>
          <w:highlight w:val="none"/>
          <w:lang w:val="en-US" w:eastAsia="zh-CN"/>
        </w:rPr>
        <w:t>121</w:t>
      </w:r>
      <w:r>
        <w:rPr>
          <w:rFonts w:hint="eastAsia" w:ascii="仿宋_GB2312" w:hAnsi="仿宋_GB2312" w:eastAsia="仿宋_GB2312" w:cs="仿宋_GB2312"/>
          <w:color w:val="auto"/>
          <w:sz w:val="32"/>
          <w:szCs w:val="32"/>
          <w:highlight w:val="none"/>
        </w:rPr>
        <w:t>家。经济开发区入选全省首批绿色低碳高质量发展先行区建设产业园区试点。</w:t>
      </w:r>
    </w:p>
    <w:p w14:paraId="26CE466E">
      <w:pPr>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——创新能级实现新跃升。</w:t>
      </w:r>
      <w:r>
        <w:rPr>
          <w:rFonts w:hint="eastAsia" w:ascii="仿宋_GB2312" w:hAnsi="仿宋_GB2312" w:eastAsia="仿宋_GB2312" w:cs="仿宋_GB2312"/>
          <w:color w:val="auto"/>
          <w:sz w:val="32"/>
          <w:szCs w:val="32"/>
          <w:highlight w:val="none"/>
        </w:rPr>
        <w:t>持续加大科技创新投入，加快建设高能级创新平台，</w:t>
      </w:r>
      <w:r>
        <w:rPr>
          <w:rFonts w:hint="eastAsia" w:ascii="仿宋_GB2312" w:hAnsi="仿宋_GB2312" w:eastAsia="仿宋_GB2312" w:cs="仿宋_GB2312"/>
          <w:strike w:val="0"/>
          <w:dstrike w:val="0"/>
          <w:color w:val="auto"/>
          <w:sz w:val="32"/>
          <w:szCs w:val="32"/>
          <w:highlight w:val="none"/>
          <w:lang w:val="en-US" w:eastAsia="zh-CN"/>
        </w:rPr>
        <w:t>拥有省市级平台258个，2家企业备案院士工作站，2家企业获批山东省新型研发机构，1家企业获批山东省科技成果转化中试示范基地，</w:t>
      </w:r>
      <w:r>
        <w:rPr>
          <w:rFonts w:hint="eastAsia" w:ascii="仿宋_GB2312" w:hAnsi="仿宋_GB2312" w:eastAsia="仿宋_GB2312" w:cs="仿宋_GB2312"/>
          <w:color w:val="auto"/>
          <w:sz w:val="32"/>
          <w:szCs w:val="32"/>
          <w:highlight w:val="none"/>
        </w:rPr>
        <w:t>启航智能制造国际创新园入选山东省国际科技合作基地，山东台儿庄茄子科技小院落地建设。</w:t>
      </w:r>
      <w:r>
        <w:rPr>
          <w:rFonts w:hint="eastAsia" w:ascii="仿宋_GB2312" w:hAnsi="仿宋_GB2312" w:eastAsia="仿宋_GB2312" w:cs="仿宋_GB2312"/>
          <w:color w:val="auto"/>
          <w:sz w:val="32"/>
          <w:szCs w:val="32"/>
          <w:highlight w:val="none"/>
          <w:lang w:val="en-US" w:eastAsia="zh-CN"/>
        </w:rPr>
        <w:t>19</w:t>
      </w:r>
      <w:r>
        <w:rPr>
          <w:rFonts w:hint="eastAsia" w:ascii="仿宋_GB2312" w:hAnsi="仿宋_GB2312" w:eastAsia="仿宋_GB2312" w:cs="仿宋_GB2312"/>
          <w:color w:val="auto"/>
          <w:sz w:val="32"/>
          <w:szCs w:val="32"/>
          <w:highlight w:val="none"/>
        </w:rPr>
        <w:t>家企业获评省级数字经济“晨星工厂”，瑞隆机械成功创建省级工业互联网平台。</w:t>
      </w:r>
      <w:r>
        <w:rPr>
          <w:rFonts w:hint="eastAsia" w:ascii="仿宋_GB2312" w:hAnsi="仿宋_GB2312" w:eastAsia="仿宋_GB2312" w:cs="仿宋_GB2312"/>
          <w:strike w:val="0"/>
          <w:dstrike w:val="0"/>
          <w:color w:val="auto"/>
          <w:sz w:val="32"/>
          <w:szCs w:val="32"/>
          <w:highlight w:val="none"/>
          <w:u w:val="none"/>
          <w:lang w:val="en-US" w:eastAsia="zh-CN"/>
        </w:rPr>
        <w:t>1</w:t>
      </w:r>
      <w:r>
        <w:rPr>
          <w:rFonts w:hint="eastAsia" w:ascii="仿宋_GB2312" w:hAnsi="仿宋_GB2312" w:eastAsia="仿宋_GB2312" w:cs="仿宋_GB2312"/>
          <w:strike w:val="0"/>
          <w:dstrike w:val="0"/>
          <w:color w:val="auto"/>
          <w:sz w:val="32"/>
          <w:szCs w:val="32"/>
          <w:highlight w:val="none"/>
          <w:lang w:val="en-US" w:eastAsia="zh-CN"/>
        </w:rPr>
        <w:t>36家企业入库国家科技型中小企业，全区国家高新技术企业达到69家</w:t>
      </w:r>
      <w:r>
        <w:rPr>
          <w:rFonts w:hint="eastAsia" w:ascii="仿宋_GB2312" w:hAnsi="仿宋_GB2312" w:eastAsia="仿宋_GB2312" w:cs="仿宋_GB2312"/>
          <w:color w:val="auto"/>
          <w:sz w:val="32"/>
          <w:szCs w:val="32"/>
          <w:highlight w:val="none"/>
          <w:lang w:val="en-US" w:eastAsia="zh-CN"/>
        </w:rPr>
        <w:t>，高新技术产业产值占规模以上工业产值比重达到52.56%，较2020年提高13.34个百分点。核</w:t>
      </w:r>
      <w:r>
        <w:rPr>
          <w:rFonts w:hint="eastAsia" w:ascii="仿宋_GB2312" w:hAnsi="仿宋_GB2312" w:eastAsia="仿宋_GB2312" w:cs="仿宋_GB2312"/>
          <w:color w:val="auto"/>
          <w:sz w:val="32"/>
          <w:szCs w:val="32"/>
          <w:highlight w:val="none"/>
        </w:rPr>
        <w:t>心技术攻关取得重要突破，联润新材料纱线生产关键技术获评省</w:t>
      </w:r>
      <w:r>
        <w:rPr>
          <w:rFonts w:hint="eastAsia" w:ascii="仿宋_GB2312" w:hAnsi="仿宋_GB2312" w:eastAsia="仿宋_GB2312" w:cs="仿宋_GB2312"/>
          <w:color w:val="auto"/>
          <w:sz w:val="32"/>
          <w:szCs w:val="32"/>
          <w:highlight w:val="none"/>
          <w:lang w:eastAsia="zh-CN"/>
        </w:rPr>
        <w:t>科技进步奖二等奖</w:t>
      </w:r>
      <w:r>
        <w:rPr>
          <w:rFonts w:hint="eastAsia" w:ascii="仿宋_GB2312" w:hAnsi="仿宋_GB2312" w:eastAsia="仿宋_GB2312" w:cs="仿宋_GB2312"/>
          <w:color w:val="auto"/>
          <w:sz w:val="32"/>
          <w:szCs w:val="32"/>
          <w:highlight w:val="none"/>
        </w:rPr>
        <w:t>，鑫金山台时3000吨砂石同出生产线、明源可控中高压光机等7个产品入选省级首台</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套</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产品名单。深入实施“榴枣归乡”工程，累计引</w:t>
      </w:r>
      <w:r>
        <w:rPr>
          <w:rFonts w:hint="eastAsia" w:ascii="仿宋_GB2312" w:hAnsi="仿宋_GB2312" w:eastAsia="仿宋_GB2312" w:cs="仿宋_GB2312"/>
          <w:color w:val="auto"/>
          <w:sz w:val="32"/>
          <w:szCs w:val="32"/>
          <w:highlight w:val="none"/>
          <w:lang w:val="en-US" w:eastAsia="zh-CN"/>
        </w:rPr>
        <w:t>进35</w:t>
      </w:r>
      <w:r>
        <w:rPr>
          <w:rFonts w:hint="eastAsia" w:ascii="仿宋_GB2312" w:hAnsi="仿宋_GB2312" w:eastAsia="仿宋_GB2312" w:cs="仿宋_GB2312"/>
          <w:color w:val="auto"/>
          <w:sz w:val="32"/>
          <w:szCs w:val="32"/>
          <w:highlight w:val="none"/>
        </w:rPr>
        <w:t>名高层次人才，集聚</w:t>
      </w:r>
      <w:r>
        <w:rPr>
          <w:rFonts w:hint="eastAsia" w:ascii="仿宋_GB2312" w:hAnsi="仿宋_GB2312" w:eastAsia="仿宋_GB2312" w:cs="仿宋_GB2312"/>
          <w:color w:val="auto"/>
          <w:sz w:val="32"/>
          <w:szCs w:val="32"/>
          <w:highlight w:val="none"/>
          <w:lang w:val="en-US" w:eastAsia="zh-CN"/>
        </w:rPr>
        <w:t>10000余</w:t>
      </w:r>
      <w:r>
        <w:rPr>
          <w:rFonts w:hint="eastAsia" w:ascii="仿宋_GB2312" w:hAnsi="仿宋_GB2312" w:eastAsia="仿宋_GB2312" w:cs="仿宋_GB2312"/>
          <w:color w:val="auto"/>
          <w:sz w:val="32"/>
          <w:szCs w:val="32"/>
          <w:highlight w:val="none"/>
        </w:rPr>
        <w:t>名青年人才，</w:t>
      </w:r>
      <w:r>
        <w:rPr>
          <w:rFonts w:hint="eastAsia" w:ascii="仿宋_GB2312" w:hAnsi="仿宋_GB2312" w:eastAsia="仿宋_GB2312" w:cs="仿宋_GB2312"/>
          <w:color w:val="auto"/>
          <w:sz w:val="32"/>
          <w:szCs w:val="32"/>
          <w:highlight w:val="none"/>
          <w:lang w:val="en-US" w:eastAsia="zh-CN"/>
        </w:rPr>
        <w:t>培育3名国家级人才、5名泰山产业领军人才、9名枣庄英才</w:t>
      </w:r>
      <w:r>
        <w:rPr>
          <w:rFonts w:hint="eastAsia" w:ascii="仿宋_GB2312" w:hAnsi="仿宋_GB2312" w:eastAsia="仿宋_GB2312" w:cs="仿宋_GB2312"/>
          <w:color w:val="auto"/>
          <w:sz w:val="32"/>
          <w:szCs w:val="32"/>
          <w:highlight w:val="none"/>
        </w:rPr>
        <w:t>。</w:t>
      </w:r>
    </w:p>
    <w:p w14:paraId="58E33C15">
      <w:pPr>
        <w:keepNext w:val="0"/>
        <w:keepLines w:val="0"/>
        <w:pageBreakBefore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——城乡融合展现新面貌。</w:t>
      </w:r>
      <w:r>
        <w:rPr>
          <w:rFonts w:hint="eastAsia" w:ascii="仿宋_GB2312" w:hAnsi="仿宋_GB2312" w:eastAsia="仿宋_GB2312" w:cs="仿宋_GB2312"/>
          <w:color w:val="auto"/>
          <w:sz w:val="32"/>
          <w:szCs w:val="32"/>
          <w:highlight w:val="none"/>
        </w:rPr>
        <w:t>深入实施城市更新行动，</w:t>
      </w:r>
      <w:r>
        <w:rPr>
          <w:rFonts w:hint="eastAsia" w:ascii="仿宋_GB2312" w:hAnsi="仿宋_GB2312" w:eastAsia="仿宋_GB2312" w:cs="仿宋_GB2312"/>
          <w:snapToGrid w:val="0"/>
          <w:color w:val="auto"/>
          <w:spacing w:val="0"/>
          <w:kern w:val="0"/>
          <w:sz w:val="32"/>
          <w:szCs w:val="32"/>
          <w:highlight w:val="none"/>
          <w:u w:val="none" w:color="auto"/>
        </w:rPr>
        <w:t>改造老旧小区</w:t>
      </w:r>
      <w:r>
        <w:rPr>
          <w:rFonts w:hint="eastAsia" w:ascii="仿宋_GB2312" w:hAnsi="仿宋_GB2312" w:eastAsia="仿宋_GB2312" w:cs="仿宋_GB2312"/>
          <w:snapToGrid w:val="0"/>
          <w:color w:val="auto"/>
          <w:spacing w:val="0"/>
          <w:kern w:val="0"/>
          <w:sz w:val="32"/>
          <w:szCs w:val="32"/>
          <w:highlight w:val="none"/>
          <w:u w:val="none" w:color="auto"/>
          <w:lang w:val="en-US" w:eastAsia="zh-CN"/>
        </w:rPr>
        <w:t>34</w:t>
      </w:r>
      <w:r>
        <w:rPr>
          <w:rFonts w:hint="eastAsia" w:ascii="仿宋_GB2312" w:hAnsi="仿宋_GB2312" w:eastAsia="仿宋_GB2312" w:cs="仿宋_GB2312"/>
          <w:snapToGrid w:val="0"/>
          <w:color w:val="auto"/>
          <w:spacing w:val="0"/>
          <w:kern w:val="0"/>
          <w:sz w:val="32"/>
          <w:szCs w:val="32"/>
          <w:highlight w:val="none"/>
          <w:u w:val="none" w:color="auto"/>
        </w:rPr>
        <w:t>个，棚改项目在全市率先“清零”，城区集中供热面积达259.6万平方米</w:t>
      </w:r>
      <w:r>
        <w:rPr>
          <w:rFonts w:hint="eastAsia" w:ascii="仿宋_GB2312" w:hAnsi="仿宋_GB2312" w:eastAsia="仿宋_GB2312" w:cs="仿宋_GB2312"/>
          <w:snapToGrid w:val="0"/>
          <w:color w:val="auto"/>
          <w:spacing w:val="0"/>
          <w:kern w:val="0"/>
          <w:sz w:val="32"/>
          <w:szCs w:val="32"/>
          <w:highlight w:val="none"/>
          <w:u w:val="none" w:color="auto"/>
          <w:lang w:eastAsia="zh-CN"/>
        </w:rPr>
        <w:t>，</w:t>
      </w:r>
      <w:r>
        <w:rPr>
          <w:rFonts w:hint="eastAsia" w:ascii="仿宋_GB2312" w:hAnsi="仿宋_GB2312" w:eastAsia="仿宋_GB2312" w:cs="仿宋_GB2312"/>
          <w:snapToGrid w:val="0"/>
          <w:color w:val="auto"/>
          <w:spacing w:val="0"/>
          <w:kern w:val="0"/>
          <w:sz w:val="32"/>
          <w:szCs w:val="32"/>
          <w:highlight w:val="none"/>
          <w:u w:val="none" w:color="auto"/>
        </w:rPr>
        <w:t>打通长安西路、</w:t>
      </w:r>
      <w:r>
        <w:rPr>
          <w:rFonts w:hint="eastAsia" w:ascii="仿宋_GB2312" w:hAnsi="仿宋_GB2312" w:eastAsia="仿宋_GB2312" w:cs="仿宋_GB2312"/>
          <w:snapToGrid w:val="0"/>
          <w:color w:val="auto"/>
          <w:spacing w:val="0"/>
          <w:kern w:val="0"/>
          <w:sz w:val="32"/>
          <w:szCs w:val="32"/>
          <w:highlight w:val="none"/>
          <w:u w:val="none" w:color="auto"/>
          <w:lang w:val="en-US" w:eastAsia="zh-CN"/>
        </w:rPr>
        <w:t>台北路、</w:t>
      </w:r>
      <w:r>
        <w:rPr>
          <w:rFonts w:hint="eastAsia" w:ascii="仿宋_GB2312" w:hAnsi="仿宋_GB2312" w:eastAsia="仿宋_GB2312" w:cs="仿宋_GB2312"/>
          <w:snapToGrid w:val="0"/>
          <w:color w:val="auto"/>
          <w:spacing w:val="0"/>
          <w:kern w:val="0"/>
          <w:sz w:val="32"/>
          <w:szCs w:val="32"/>
          <w:highlight w:val="none"/>
          <w:u w:val="none" w:color="auto"/>
        </w:rPr>
        <w:t>工业大道</w:t>
      </w:r>
      <w:r>
        <w:rPr>
          <w:rFonts w:hint="eastAsia" w:ascii="仿宋_GB2312" w:hAnsi="仿宋_GB2312" w:eastAsia="仿宋_GB2312" w:cs="仿宋_GB2312"/>
          <w:snapToGrid w:val="0"/>
          <w:color w:val="auto"/>
          <w:spacing w:val="0"/>
          <w:kern w:val="0"/>
          <w:sz w:val="32"/>
          <w:szCs w:val="32"/>
          <w:highlight w:val="none"/>
          <w:u w:val="none" w:color="auto"/>
          <w:lang w:eastAsia="zh-CN"/>
        </w:rPr>
        <w:t>、</w:t>
      </w:r>
      <w:r>
        <w:rPr>
          <w:rFonts w:hint="eastAsia" w:ascii="仿宋_GB2312" w:hAnsi="仿宋_GB2312" w:eastAsia="仿宋_GB2312" w:cs="仿宋_GB2312"/>
          <w:snapToGrid w:val="0"/>
          <w:color w:val="auto"/>
          <w:spacing w:val="0"/>
          <w:kern w:val="0"/>
          <w:sz w:val="32"/>
          <w:szCs w:val="32"/>
          <w:highlight w:val="none"/>
          <w:u w:val="none" w:color="auto"/>
        </w:rPr>
        <w:t>日月潭路、台中路、</w:t>
      </w:r>
      <w:r>
        <w:rPr>
          <w:rFonts w:hint="eastAsia" w:ascii="仿宋_GB2312" w:hAnsi="仿宋_GB2312" w:eastAsia="仿宋_GB2312" w:cs="仿宋_GB2312"/>
          <w:snapToGrid w:val="0"/>
          <w:color w:val="auto"/>
          <w:spacing w:val="0"/>
          <w:kern w:val="0"/>
          <w:sz w:val="32"/>
          <w:szCs w:val="32"/>
          <w:highlight w:val="none"/>
          <w:u w:val="none" w:color="auto"/>
          <w:lang w:val="en-US" w:eastAsia="zh-CN"/>
        </w:rPr>
        <w:t>嘉义路</w:t>
      </w:r>
      <w:r>
        <w:rPr>
          <w:rFonts w:hint="eastAsia" w:ascii="仿宋_GB2312" w:hAnsi="仿宋_GB2312" w:eastAsia="仿宋_GB2312" w:cs="仿宋_GB2312"/>
          <w:snapToGrid w:val="0"/>
          <w:color w:val="auto"/>
          <w:spacing w:val="0"/>
          <w:kern w:val="0"/>
          <w:sz w:val="32"/>
          <w:szCs w:val="32"/>
          <w:highlight w:val="none"/>
          <w:u w:val="none" w:color="auto"/>
        </w:rPr>
        <w:t>等“瓶颈路”“断头路”，</w:t>
      </w:r>
      <w:r>
        <w:rPr>
          <w:rFonts w:hint="eastAsia" w:ascii="仿宋_GB2312" w:hAnsi="仿宋_GB2312" w:eastAsia="仿宋_GB2312" w:cs="仿宋_GB2312"/>
          <w:color w:val="auto"/>
          <w:sz w:val="32"/>
          <w:szCs w:val="32"/>
          <w:highlight w:val="none"/>
          <w:lang w:eastAsia="zh-CN"/>
        </w:rPr>
        <w:t>新建提升20处公园游园</w:t>
      </w:r>
      <w:r>
        <w:rPr>
          <w:rFonts w:hint="eastAsia" w:ascii="仿宋_GB2312" w:hAnsi="Times New Roman" w:eastAsia="仿宋_GB2312"/>
          <w:color w:val="auto"/>
          <w:sz w:val="32"/>
          <w:szCs w:val="32"/>
          <w:highlight w:val="none"/>
        </w:rPr>
        <w:t>，</w:t>
      </w:r>
      <w:r>
        <w:rPr>
          <w:rFonts w:hint="eastAsia" w:ascii="仿宋_GB2312" w:hAnsi="仿宋_GB2312" w:eastAsia="仿宋_GB2312" w:cs="仿宋_GB2312"/>
          <w:color w:val="auto"/>
          <w:sz w:val="32"/>
          <w:szCs w:val="32"/>
          <w:highlight w:val="none"/>
        </w:rPr>
        <w:t>入选全国县域流通服务网络强县</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全国城市儿童友好空间建设可复制经验清单</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全省首批公园绿地开放共享试点城市</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省</w:t>
      </w:r>
      <w:r>
        <w:rPr>
          <w:rFonts w:hint="eastAsia" w:ascii="仿宋_GB2312" w:hAnsi="仿宋_GB2312" w:eastAsia="仿宋_GB2312" w:cs="仿宋_GB2312"/>
          <w:color w:val="auto"/>
          <w:sz w:val="32"/>
          <w:szCs w:val="32"/>
          <w:highlight w:val="none"/>
          <w:lang w:val="en-US" w:eastAsia="zh-CN"/>
        </w:rPr>
        <w:t>级</w:t>
      </w:r>
      <w:r>
        <w:rPr>
          <w:rFonts w:hint="eastAsia" w:ascii="仿宋_GB2312" w:hAnsi="仿宋_GB2312" w:eastAsia="仿宋_GB2312" w:cs="仿宋_GB2312"/>
          <w:color w:val="auto"/>
          <w:sz w:val="32"/>
          <w:szCs w:val="32"/>
          <w:highlight w:val="none"/>
        </w:rPr>
        <w:t>四星级新型智慧城市，城市能级稳步提升。大力推进乡村振兴，</w:t>
      </w:r>
      <w:r>
        <w:rPr>
          <w:rFonts w:hint="eastAsia" w:ascii="仿宋_GB2312" w:hAnsi="仿宋_GB2312" w:eastAsia="仿宋_GB2312" w:cs="仿宋_GB2312"/>
          <w:snapToGrid w:val="0"/>
          <w:color w:val="auto"/>
          <w:spacing w:val="0"/>
          <w:kern w:val="0"/>
          <w:sz w:val="32"/>
          <w:szCs w:val="32"/>
          <w:highlight w:val="none"/>
          <w:u w:val="none" w:color="auto"/>
          <w:lang w:eastAsia="zh-CN"/>
        </w:rPr>
        <w:t>累计</w:t>
      </w:r>
      <w:r>
        <w:rPr>
          <w:rFonts w:hint="eastAsia" w:ascii="仿宋_GB2312" w:hAnsi="仿宋_GB2312" w:eastAsia="仿宋_GB2312" w:cs="仿宋_GB2312"/>
          <w:snapToGrid w:val="0"/>
          <w:color w:val="auto"/>
          <w:spacing w:val="0"/>
          <w:kern w:val="0"/>
          <w:sz w:val="32"/>
          <w:szCs w:val="32"/>
          <w:highlight w:val="none"/>
          <w:u w:val="none" w:color="auto"/>
        </w:rPr>
        <w:t>创建省市级示范片区</w:t>
      </w:r>
      <w:r>
        <w:rPr>
          <w:rFonts w:hint="eastAsia" w:ascii="仿宋_GB2312" w:hAnsi="仿宋_GB2312" w:eastAsia="仿宋_GB2312" w:cs="仿宋_GB2312"/>
          <w:snapToGrid w:val="0"/>
          <w:color w:val="auto"/>
          <w:spacing w:val="0"/>
          <w:kern w:val="0"/>
          <w:sz w:val="32"/>
          <w:szCs w:val="32"/>
          <w:highlight w:val="none"/>
          <w:u w:val="none" w:color="auto"/>
          <w:lang w:val="en-US" w:eastAsia="zh-CN"/>
        </w:rPr>
        <w:t>7</w:t>
      </w:r>
      <w:r>
        <w:rPr>
          <w:rFonts w:hint="eastAsia" w:ascii="仿宋_GB2312" w:hAnsi="仿宋_GB2312" w:eastAsia="仿宋_GB2312" w:cs="仿宋_GB2312"/>
          <w:snapToGrid w:val="0"/>
          <w:color w:val="auto"/>
          <w:spacing w:val="0"/>
          <w:kern w:val="0"/>
          <w:sz w:val="32"/>
          <w:szCs w:val="32"/>
          <w:highlight w:val="none"/>
          <w:u w:val="none" w:color="auto"/>
        </w:rPr>
        <w:t>个、和美乡村示范村</w:t>
      </w:r>
      <w:r>
        <w:rPr>
          <w:rFonts w:hint="eastAsia" w:ascii="仿宋_GB2312" w:hAnsi="仿宋_GB2312" w:eastAsia="仿宋_GB2312" w:cs="仿宋_GB2312"/>
          <w:snapToGrid w:val="0"/>
          <w:color w:val="auto"/>
          <w:spacing w:val="0"/>
          <w:kern w:val="0"/>
          <w:sz w:val="32"/>
          <w:szCs w:val="32"/>
          <w:highlight w:val="none"/>
          <w:u w:val="none" w:color="auto"/>
          <w:lang w:val="en-US" w:eastAsia="zh-CN"/>
        </w:rPr>
        <w:t>96</w:t>
      </w:r>
      <w:r>
        <w:rPr>
          <w:rFonts w:hint="eastAsia" w:ascii="仿宋_GB2312" w:hAnsi="仿宋_GB2312" w:eastAsia="仿宋_GB2312" w:cs="仿宋_GB2312"/>
          <w:snapToGrid w:val="0"/>
          <w:color w:val="auto"/>
          <w:spacing w:val="0"/>
          <w:kern w:val="0"/>
          <w:sz w:val="32"/>
          <w:szCs w:val="32"/>
          <w:highlight w:val="none"/>
          <w:u w:val="none" w:color="auto"/>
        </w:rPr>
        <w:t>个</w:t>
      </w:r>
      <w:r>
        <w:rPr>
          <w:rFonts w:hint="eastAsia" w:ascii="仿宋_GB2312" w:hAnsi="仿宋_GB2312" w:eastAsia="仿宋_GB2312" w:cs="仿宋_GB2312"/>
          <w:snapToGrid w:val="0"/>
          <w:color w:val="auto"/>
          <w:spacing w:val="0"/>
          <w:kern w:val="0"/>
          <w:sz w:val="32"/>
          <w:szCs w:val="32"/>
          <w:highlight w:val="none"/>
          <w:u w:val="none" w:color="auto"/>
          <w:lang w:eastAsia="zh-CN"/>
        </w:rPr>
        <w:t>。</w:t>
      </w:r>
      <w:r>
        <w:rPr>
          <w:rFonts w:hint="eastAsia" w:ascii="仿宋_GB2312" w:hAnsi="仿宋_GB2312" w:eastAsia="仿宋_GB2312" w:cs="仿宋_GB2312"/>
          <w:color w:val="auto"/>
          <w:sz w:val="32"/>
          <w:szCs w:val="32"/>
          <w:highlight w:val="none"/>
        </w:rPr>
        <w:t>扛牢粮食安全政治责任，建成高标准农田14万亩，粮食播种面积、总产量创历年新高。涛沟桥大米被认定为国家农产品地理标志，</w:t>
      </w:r>
      <w:r>
        <w:rPr>
          <w:rFonts w:hint="eastAsia" w:ascii="仿宋_GB2312" w:hAnsi="Times New Roman" w:eastAsia="仿宋_GB2312" w:cs="Times New Roman"/>
          <w:color w:val="auto"/>
          <w:sz w:val="32"/>
          <w:szCs w:val="32"/>
          <w:highlight w:val="none"/>
        </w:rPr>
        <w:t>张山子甜桃、涧头集长茄、涛沟桥大米、泥沟平菇</w:t>
      </w:r>
      <w:r>
        <w:rPr>
          <w:rFonts w:hint="eastAsia" w:ascii="仿宋_GB2312" w:hAnsi="Times New Roman" w:eastAsia="仿宋_GB2312" w:cs="Times New Roman"/>
          <w:color w:val="auto"/>
          <w:sz w:val="32"/>
          <w:szCs w:val="32"/>
          <w:highlight w:val="none"/>
          <w:lang w:eastAsia="zh-CN"/>
        </w:rPr>
        <w:t>、台儿庄牛肉</w:t>
      </w:r>
      <w:r>
        <w:rPr>
          <w:rFonts w:hint="eastAsia" w:ascii="仿宋_GB2312" w:hAnsi="Times New Roman" w:eastAsia="仿宋_GB2312" w:cs="Times New Roman"/>
          <w:color w:val="auto"/>
          <w:sz w:val="32"/>
          <w:szCs w:val="32"/>
          <w:highlight w:val="none"/>
        </w:rPr>
        <w:t>等</w:t>
      </w:r>
      <w:r>
        <w:rPr>
          <w:rFonts w:hint="eastAsia" w:ascii="仿宋_GB2312" w:hAnsi="Times New Roman" w:eastAsia="仿宋_GB2312" w:cs="Times New Roman"/>
          <w:color w:val="auto"/>
          <w:sz w:val="32"/>
          <w:szCs w:val="32"/>
          <w:highlight w:val="none"/>
          <w:lang w:val="en-US" w:eastAsia="zh-CN"/>
        </w:rPr>
        <w:t>5</w:t>
      </w:r>
      <w:r>
        <w:rPr>
          <w:rFonts w:hint="eastAsia" w:ascii="仿宋_GB2312" w:hAnsi="Times New Roman" w:eastAsia="仿宋_GB2312" w:cs="Times New Roman"/>
          <w:color w:val="auto"/>
          <w:sz w:val="32"/>
          <w:szCs w:val="32"/>
          <w:highlight w:val="none"/>
        </w:rPr>
        <w:t>个农产</w:t>
      </w:r>
      <w:r>
        <w:rPr>
          <w:rFonts w:hint="eastAsia" w:ascii="Times New Roman" w:hAnsi="Times New Roman" w:eastAsia="仿宋_GB2312"/>
          <w:color w:val="auto"/>
          <w:sz w:val="32"/>
          <w:szCs w:val="32"/>
          <w:highlight w:val="none"/>
        </w:rPr>
        <w:t>品入选全国名特优新农产品</w:t>
      </w:r>
      <w:r>
        <w:rPr>
          <w:rFonts w:hint="eastAsia" w:ascii="仿宋_GB2312" w:hAnsi="仿宋_GB2312" w:eastAsia="仿宋_GB2312" w:cs="仿宋_GB2312"/>
          <w:color w:val="auto"/>
          <w:sz w:val="32"/>
          <w:szCs w:val="32"/>
          <w:highlight w:val="none"/>
        </w:rPr>
        <w:t>。马兰屯镇获批国家农业产业强镇</w:t>
      </w:r>
      <w:r>
        <w:rPr>
          <w:rFonts w:hint="eastAsia" w:ascii="仿宋_GB2312" w:hAnsi="仿宋_GB2312" w:eastAsia="仿宋_GB2312" w:cs="仿宋_GB2312"/>
          <w:bCs/>
          <w:color w:val="auto"/>
          <w:sz w:val="32"/>
          <w:szCs w:val="32"/>
          <w:highlight w:val="none"/>
        </w:rPr>
        <w:t>。</w:t>
      </w:r>
    </w:p>
    <w:p w14:paraId="44A5927B">
      <w:pPr>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color w:val="auto"/>
          <w:sz w:val="32"/>
          <w:szCs w:val="32"/>
          <w:highlight w:val="none"/>
        </w:rPr>
        <w:t>文旅融合取得新突破。</w:t>
      </w:r>
      <w:r>
        <w:rPr>
          <w:rFonts w:hint="eastAsia" w:ascii="仿宋_GB2312" w:hAnsi="仿宋_GB2312" w:eastAsia="仿宋_GB2312" w:cs="仿宋_GB2312"/>
          <w:color w:val="auto"/>
          <w:sz w:val="32"/>
          <w:szCs w:val="32"/>
          <w:highlight w:val="none"/>
        </w:rPr>
        <w:t>运河文化、红色文化传承发展，建立大运河台儿庄段世界文化遗产目录，完成偪阳故城城墙遗迹抢险加固保护、大运河中河台儿庄（月河）段驳岸修缮保护及安全防护栏改造等一批文保工程，入选山东省红色旅游融合发展区培育名单，文物保护经验做法（含红色沉浸传播案例）获评全国抗战文物保护利用案例。</w:t>
      </w:r>
      <w:r>
        <w:rPr>
          <w:rFonts w:hint="eastAsia" w:ascii="仿宋_GB2312" w:hAnsi="仿宋_GB2312" w:eastAsia="仿宋_GB2312" w:cs="仿宋_GB2312"/>
          <w:color w:val="auto"/>
          <w:sz w:val="32"/>
          <w:szCs w:val="32"/>
        </w:rPr>
        <w:t>文旅融合持续深化，台儿庄古城“金字招牌”成色更足，入选首批国家级夜间文化和旅游消费集聚区、国家文明旅游示范单位，“台儿庄古城以智提质助力老年人畅游无阻”入选国家2024年智慧旅游适老化典型案例</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渔灯巷景区获评省级旅游休闲街区并投入运营，全区接待游客突破4300万人次。文化设施不断完善，区图书馆新馆、博物馆建成开放，6座城市书房投入使用，获评2024春节山东乡村文化旅游节工作先进县。交通文旅融合扎实推进，完成G3京台高速改扩建、京台高速大运河服务区（全省首个开放式“交旅融合”服务区）建成运营，济枣高铁台儿庄段启动建设，运河南堤风景旅游大道（S231</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微山界段）和服务区至运河南堤连接线、高雄路全线贯通，“鲁风运河”古城文化廊道获评全国“十大最美农村路”，“白天看古城、晚上游运河、岸边赏夜景”的文旅格局全面形成。</w:t>
      </w:r>
    </w:p>
    <w:p w14:paraId="24B89670">
      <w:pPr>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——绿色低碳开启新篇章。</w:t>
      </w:r>
      <w:r>
        <w:rPr>
          <w:rFonts w:hint="eastAsia" w:ascii="仿宋_GB2312" w:hAnsi="仿宋_GB2312" w:eastAsia="仿宋_GB2312" w:cs="仿宋_GB2312"/>
          <w:color w:val="auto"/>
          <w:sz w:val="32"/>
          <w:szCs w:val="32"/>
        </w:rPr>
        <w:t>统筹推进山水林田湖草</w:t>
      </w:r>
      <w:r>
        <w:rPr>
          <w:rFonts w:hint="eastAsia" w:ascii="仿宋_GB2312" w:hAnsi="仿宋_GB2312" w:eastAsia="仿宋_GB2312" w:cs="仿宋_GB2312"/>
          <w:color w:val="auto"/>
          <w:sz w:val="32"/>
          <w:szCs w:val="32"/>
          <w:lang w:val="en-US" w:eastAsia="zh-CN"/>
        </w:rPr>
        <w:t>沙</w:t>
      </w:r>
      <w:r>
        <w:rPr>
          <w:rFonts w:hint="eastAsia" w:ascii="仿宋_GB2312" w:hAnsi="仿宋_GB2312" w:eastAsia="仿宋_GB2312" w:cs="仿宋_GB2312"/>
          <w:color w:val="auto"/>
          <w:sz w:val="32"/>
          <w:szCs w:val="32"/>
        </w:rPr>
        <w:t>系统治理，全面开展流域治污大会战，完成大运河及</w:t>
      </w:r>
      <w:r>
        <w:rPr>
          <w:rFonts w:hint="eastAsia" w:ascii="仿宋_GB2312" w:hAnsi="仿宋_GB2312" w:eastAsia="仿宋_GB2312" w:cs="仿宋_GB2312"/>
          <w:color w:val="auto"/>
          <w:sz w:val="32"/>
          <w:szCs w:val="32"/>
          <w:lang w:val="en-US" w:eastAsia="zh-CN"/>
        </w:rPr>
        <w:t>沧浪河</w:t>
      </w:r>
      <w:r>
        <w:rPr>
          <w:rFonts w:hint="eastAsia" w:ascii="仿宋_GB2312" w:hAnsi="仿宋_GB2312" w:eastAsia="仿宋_GB2312" w:cs="仿宋_GB2312"/>
          <w:color w:val="auto"/>
          <w:sz w:val="32"/>
          <w:szCs w:val="32"/>
        </w:rPr>
        <w:t>、兰祺河等入运支流综合整治</w:t>
      </w:r>
      <w:r>
        <w:rPr>
          <w:rFonts w:hint="eastAsia" w:ascii="仿宋_GB2312" w:hAnsi="仿宋_GB2312" w:eastAsia="仿宋_GB2312" w:cs="仿宋_GB2312"/>
          <w:color w:val="auto"/>
          <w:sz w:val="32"/>
          <w:szCs w:val="32"/>
          <w:lang w:eastAsia="zh-CN"/>
        </w:rPr>
        <w:t>和</w:t>
      </w:r>
      <w:r>
        <w:rPr>
          <w:rFonts w:hint="eastAsia" w:ascii="仿宋_GB2312" w:hAnsi="仿宋_GB2312" w:eastAsia="仿宋_GB2312" w:cs="仿宋_GB2312"/>
          <w:color w:val="auto"/>
          <w:sz w:val="32"/>
          <w:szCs w:val="32"/>
        </w:rPr>
        <w:t>湿地生态净化，完成植树造林</w:t>
      </w:r>
      <w:r>
        <w:rPr>
          <w:rFonts w:hint="eastAsia" w:ascii="仿宋_GB2312" w:hAnsi="仿宋_GB2312" w:eastAsia="仿宋_GB2312" w:cs="仿宋_GB2312"/>
          <w:color w:val="auto"/>
          <w:sz w:val="32"/>
          <w:szCs w:val="32"/>
          <w:lang w:val="en-US" w:eastAsia="zh-CN"/>
        </w:rPr>
        <w:t>2500</w:t>
      </w:r>
      <w:r>
        <w:rPr>
          <w:rFonts w:hint="eastAsia" w:ascii="仿宋_GB2312" w:hAnsi="仿宋_GB2312" w:eastAsia="仿宋_GB2312" w:cs="仿宋_GB2312"/>
          <w:color w:val="auto"/>
          <w:sz w:val="32"/>
          <w:szCs w:val="32"/>
        </w:rPr>
        <w:t>亩、历史遗留废弃矿山生态修复治理</w:t>
      </w:r>
      <w:r>
        <w:rPr>
          <w:rFonts w:hint="eastAsia" w:ascii="仿宋_GB2312" w:hAnsi="仿宋_GB2312" w:eastAsia="仿宋_GB2312" w:cs="仿宋_GB2312"/>
          <w:color w:val="auto"/>
          <w:sz w:val="32"/>
          <w:szCs w:val="32"/>
          <w:lang w:val="en-US" w:eastAsia="zh-CN"/>
        </w:rPr>
        <w:t>37</w:t>
      </w:r>
      <w:r>
        <w:rPr>
          <w:rFonts w:hint="eastAsia" w:ascii="仿宋_GB2312" w:hAnsi="仿宋_GB2312" w:eastAsia="仿宋_GB2312" w:cs="仿宋_GB2312"/>
          <w:color w:val="auto"/>
          <w:sz w:val="32"/>
          <w:szCs w:val="32"/>
        </w:rPr>
        <w:t>处，全区湿地面积达到</w:t>
      </w:r>
      <w:r>
        <w:rPr>
          <w:rFonts w:hint="eastAsia" w:ascii="仿宋_GB2312" w:hAnsi="仿宋_GB2312" w:eastAsia="仿宋_GB2312" w:cs="仿宋_GB2312"/>
          <w:color w:val="auto"/>
          <w:sz w:val="32"/>
          <w:szCs w:val="32"/>
          <w:lang w:val="en-US" w:eastAsia="zh-CN"/>
        </w:rPr>
        <w:t>5.3</w:t>
      </w:r>
      <w:r>
        <w:rPr>
          <w:rFonts w:hint="eastAsia" w:ascii="仿宋_GB2312" w:hAnsi="仿宋_GB2312" w:eastAsia="仿宋_GB2312" w:cs="仿宋_GB2312"/>
          <w:color w:val="auto"/>
          <w:sz w:val="32"/>
          <w:szCs w:val="32"/>
        </w:rPr>
        <w:t>万亩，</w:t>
      </w:r>
      <w:r>
        <w:rPr>
          <w:rFonts w:hint="eastAsia" w:ascii="仿宋_GB2312" w:hAnsi="仿宋_GB2312" w:eastAsia="仿宋_GB2312" w:cs="仿宋_GB2312"/>
          <w:color w:val="auto"/>
          <w:sz w:val="32"/>
          <w:szCs w:val="32"/>
          <w:lang w:val="en-US" w:eastAsia="zh-CN"/>
        </w:rPr>
        <w:t>入选</w:t>
      </w:r>
      <w:r>
        <w:rPr>
          <w:rFonts w:hint="eastAsia" w:ascii="仿宋_GB2312" w:hAnsi="仿宋_GB2312" w:eastAsia="仿宋_GB2312" w:cs="仿宋_GB2312"/>
          <w:b w:val="0"/>
          <w:bCs w:val="0"/>
          <w:color w:val="auto"/>
          <w:spacing w:val="0"/>
          <w:sz w:val="32"/>
          <w:szCs w:val="32"/>
          <w:highlight w:val="none"/>
          <w:u w:val="none" w:color="auto"/>
          <w:lang w:val="en-US" w:eastAsia="zh-CN"/>
        </w:rPr>
        <w:t>国家节水型社会建设达标县、</w:t>
      </w:r>
      <w:r>
        <w:rPr>
          <w:rFonts w:hint="eastAsia" w:ascii="仿宋_GB2312" w:hAnsi="仿宋_GB2312" w:eastAsia="仿宋_GB2312" w:cs="仿宋_GB2312"/>
          <w:color w:val="auto"/>
          <w:sz w:val="32"/>
          <w:szCs w:val="32"/>
          <w:lang w:val="en-US" w:eastAsia="zh-CN"/>
        </w:rPr>
        <w:t>全国绿化模范县</w:t>
      </w:r>
      <w:r>
        <w:rPr>
          <w:rFonts w:hint="eastAsia" w:ascii="仿宋_GB2312" w:hAnsi="仿宋_GB2312" w:eastAsia="仿宋_GB2312" w:cs="仿宋_GB2312"/>
          <w:b w:val="0"/>
          <w:bCs w:val="0"/>
          <w:color w:val="auto"/>
          <w:spacing w:val="0"/>
          <w:sz w:val="32"/>
          <w:szCs w:val="32"/>
          <w:highlight w:val="none"/>
          <w:u w:val="none" w:color="auto"/>
          <w:lang w:val="en-US" w:eastAsia="zh-CN"/>
        </w:rPr>
        <w:t>，S231环城生态廊道</w:t>
      </w:r>
      <w:r>
        <w:rPr>
          <w:rFonts w:hint="eastAsia" w:ascii="仿宋_GB2312" w:hAnsi="仿宋_GB2312" w:eastAsia="仿宋_GB2312" w:cs="仿宋_GB2312"/>
          <w:color w:val="auto"/>
          <w:spacing w:val="0"/>
          <w:sz w:val="32"/>
          <w:szCs w:val="32"/>
          <w:highlight w:val="none"/>
          <w:u w:val="none" w:color="auto"/>
          <w:lang w:val="en-US" w:eastAsia="zh-CN"/>
        </w:rPr>
        <w:t>获评省级样板工程</w:t>
      </w:r>
      <w:r>
        <w:rPr>
          <w:rFonts w:hint="eastAsia" w:ascii="仿宋_GB2312" w:hAnsi="仿宋_GB2312" w:eastAsia="仿宋_GB2312" w:cs="仿宋_GB2312"/>
          <w:color w:val="auto"/>
          <w:sz w:val="32"/>
          <w:szCs w:val="32"/>
        </w:rPr>
        <w:t>。建立流域生态补偿机制和联防联控机制，与峄城区、济宁微山县签订横向流域生态补偿协议，开启“保护责任</w:t>
      </w:r>
      <w:r>
        <w:rPr>
          <w:rFonts w:hint="eastAsia" w:ascii="仿宋_GB2312" w:hAnsi="仿宋_GB2312" w:eastAsia="仿宋_GB2312" w:cs="仿宋_GB2312"/>
          <w:color w:val="auto"/>
          <w:sz w:val="32"/>
          <w:szCs w:val="32"/>
          <w:highlight w:val="none"/>
        </w:rPr>
        <w:t>共担、流域环境共治、生态效益共享”</w:t>
      </w:r>
      <w:r>
        <w:rPr>
          <w:rFonts w:hint="eastAsia" w:ascii="仿宋_GB2312" w:hAnsi="仿宋_GB2312" w:eastAsia="仿宋_GB2312" w:cs="仿宋_GB2312"/>
          <w:color w:val="auto"/>
          <w:sz w:val="32"/>
          <w:szCs w:val="32"/>
          <w:highlight w:val="none"/>
          <w:lang w:val="en-US" w:eastAsia="zh-CN"/>
        </w:rPr>
        <w:t>的</w:t>
      </w:r>
      <w:r>
        <w:rPr>
          <w:rFonts w:hint="eastAsia" w:ascii="仿宋_GB2312" w:hAnsi="仿宋_GB2312" w:eastAsia="仿宋_GB2312" w:cs="仿宋_GB2312"/>
          <w:color w:val="auto"/>
          <w:sz w:val="32"/>
          <w:szCs w:val="32"/>
          <w:highlight w:val="none"/>
        </w:rPr>
        <w:t>水域治理新局面。生态环境持续向好，空气质量优良天数比例达到</w:t>
      </w:r>
      <w:r>
        <w:rPr>
          <w:rFonts w:hint="eastAsia" w:ascii="仿宋_GB2312" w:hAnsi="仿宋_GB2312" w:eastAsia="仿宋_GB2312" w:cs="仿宋_GB2312"/>
          <w:color w:val="auto"/>
          <w:sz w:val="32"/>
          <w:szCs w:val="32"/>
          <w:highlight w:val="none"/>
          <w:lang w:val="en-US" w:eastAsia="zh-CN"/>
        </w:rPr>
        <w:t>72</w:t>
      </w:r>
      <w:r>
        <w:rPr>
          <w:rFonts w:hint="eastAsia" w:ascii="仿宋_GB2312" w:hAnsi="仿宋_GB2312" w:eastAsia="仿宋_GB2312" w:cs="仿宋_GB2312"/>
          <w:color w:val="auto"/>
          <w:sz w:val="32"/>
          <w:szCs w:val="32"/>
          <w:highlight w:val="none"/>
        </w:rPr>
        <w:t>%，城市建成区内黑臭水体实现动态清零，国控断面水质优良率保持100%。</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家企业入选省级以上绿色工厂，经济开发区入选市级绿色</w:t>
      </w:r>
      <w:r>
        <w:rPr>
          <w:rFonts w:hint="eastAsia" w:ascii="仿宋_GB2312" w:hAnsi="仿宋_GB2312" w:eastAsia="仿宋_GB2312" w:cs="仿宋_GB2312"/>
          <w:color w:val="auto"/>
          <w:sz w:val="32"/>
          <w:szCs w:val="32"/>
        </w:rPr>
        <w:t>工业园区，我区入选山东省工业资源综合利用试点基地（园区）。</w:t>
      </w:r>
    </w:p>
    <w:p w14:paraId="73436396">
      <w:pPr>
        <w:keepNext w:val="0"/>
        <w:keepLines w:val="0"/>
        <w:pageBreakBefore w:val="0"/>
        <w:widowControl/>
        <w:numPr>
          <w:ilvl w:val="0"/>
          <w:numId w:val="0"/>
        </w:numPr>
        <w:suppressLineNumbers w:val="0"/>
        <w:kinsoku/>
        <w:wordWrap/>
        <w:overflowPunct/>
        <w:topLinePunct w:val="0"/>
        <w:autoSpaceDE/>
        <w:autoSpaceDN/>
        <w:bidi w:val="0"/>
        <w:spacing w:line="560" w:lineRule="exact"/>
        <w:ind w:firstLine="643" w:firstLineChars="200"/>
        <w:jc w:val="both"/>
        <w:textAlignment w:val="auto"/>
        <w:rPr>
          <w:rFonts w:hint="default"/>
          <w:b w:val="0"/>
          <w:bCs w:val="0"/>
          <w:highlight w:val="none"/>
          <w:lang w:val="en-US" w:eastAsia="zh-CN"/>
        </w:rPr>
      </w:pPr>
      <w:r>
        <w:rPr>
          <w:rFonts w:hint="eastAsia" w:ascii="仿宋_GB2312" w:hAnsi="仿宋_GB2312" w:eastAsia="仿宋_GB2312" w:cs="仿宋_GB2312"/>
          <w:b/>
          <w:bCs/>
          <w:color w:val="auto"/>
          <w:sz w:val="32"/>
          <w:szCs w:val="32"/>
        </w:rPr>
        <w:t>——改革开放迈出新步伐。</w:t>
      </w:r>
      <w:r>
        <w:rPr>
          <w:rFonts w:hint="eastAsia" w:ascii="仿宋_GB2312" w:hAnsi="仿宋_GB2312" w:eastAsia="仿宋_GB2312" w:cs="仿宋_GB2312"/>
          <w:color w:val="auto"/>
          <w:sz w:val="32"/>
          <w:szCs w:val="32"/>
        </w:rPr>
        <w:t>扎实开展“三争三创”，持续纵深推进重点领域改革。国资国企改革稳步推进，整合重组8家国企集团，完成11家国企民企混改，区属国企资产总额、主营业务收入增长36%、58%；农地入市改革深入推进，入选省级农村集体产权制度改革试点县、国家深化</w:t>
      </w:r>
      <w:r>
        <w:rPr>
          <w:rFonts w:hint="eastAsia" w:ascii="仿宋_GB2312" w:hAnsi="仿宋_GB2312" w:eastAsia="仿宋_GB2312" w:cs="仿宋_GB2312"/>
          <w:color w:val="auto"/>
          <w:sz w:val="32"/>
          <w:szCs w:val="32"/>
          <w:lang w:eastAsia="zh-CN"/>
        </w:rPr>
        <w:t>农村集体经营性建设用地</w:t>
      </w:r>
      <w:r>
        <w:rPr>
          <w:rFonts w:hint="eastAsia" w:ascii="仿宋_GB2312" w:hAnsi="仿宋_GB2312" w:eastAsia="仿宋_GB2312" w:cs="仿宋_GB2312"/>
          <w:color w:val="auto"/>
          <w:sz w:val="32"/>
          <w:szCs w:val="32"/>
        </w:rPr>
        <w:t>入市试点；聚焦“高效办成一件事”，持续优化营商环境，设立“企呼政应、接诉即办”机制，推行“四零差”服务，实现办事群众“进一扇门、办所有事”。与黄岛区</w:t>
      </w:r>
      <w:r>
        <w:rPr>
          <w:rFonts w:hint="eastAsia" w:ascii="仿宋_GB2312" w:hAnsi="仿宋_GB2312" w:eastAsia="仿宋_GB2312" w:cs="仿宋_GB2312"/>
          <w:color w:val="auto"/>
          <w:sz w:val="32"/>
          <w:szCs w:val="32"/>
          <w:lang w:val="en-US" w:eastAsia="zh-CN"/>
        </w:rPr>
        <w:t>建立</w:t>
      </w:r>
      <w:r>
        <w:rPr>
          <w:rFonts w:hint="eastAsia" w:ascii="仿宋_GB2312" w:hAnsi="仿宋_GB2312" w:eastAsia="仿宋_GB2312" w:cs="仿宋_GB2312"/>
          <w:color w:val="auto"/>
          <w:sz w:val="32"/>
          <w:szCs w:val="32"/>
        </w:rPr>
        <w:t>产业帮扶结对关系，统筹推动项目招引、链式合作、园区共建与要素保障，</w:t>
      </w:r>
      <w:r>
        <w:rPr>
          <w:rFonts w:hint="eastAsia" w:ascii="仿宋_GB2312" w:hAnsi="仿宋_GB2312" w:eastAsia="仿宋_GB2312" w:cs="仿宋_GB2312"/>
          <w:color w:val="auto"/>
          <w:sz w:val="32"/>
          <w:szCs w:val="32"/>
          <w:lang w:val="en-US" w:eastAsia="zh-CN"/>
        </w:rPr>
        <w:t>成功</w:t>
      </w:r>
      <w:r>
        <w:rPr>
          <w:rFonts w:hint="eastAsia" w:ascii="仿宋_GB2312" w:hAnsi="仿宋_GB2312" w:eastAsia="仿宋_GB2312" w:cs="仿宋_GB2312"/>
          <w:color w:val="auto"/>
          <w:sz w:val="32"/>
          <w:szCs w:val="32"/>
        </w:rPr>
        <w:t>落地项目8个</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总投资</w:t>
      </w:r>
      <w:r>
        <w:rPr>
          <w:rFonts w:hint="eastAsia" w:ascii="仿宋_GB2312" w:hAnsi="仿宋_GB2312" w:eastAsia="仿宋_GB2312" w:cs="仿宋_GB2312"/>
          <w:color w:val="auto"/>
          <w:sz w:val="32"/>
          <w:szCs w:val="32"/>
          <w:lang w:val="en-US" w:eastAsia="zh-CN"/>
        </w:rPr>
        <w:t>达</w:t>
      </w:r>
      <w:r>
        <w:rPr>
          <w:rFonts w:hint="eastAsia" w:ascii="仿宋_GB2312" w:hAnsi="仿宋_GB2312" w:eastAsia="仿宋_GB2312" w:cs="仿宋_GB2312"/>
          <w:color w:val="auto"/>
          <w:sz w:val="32"/>
          <w:szCs w:val="32"/>
        </w:rPr>
        <w:t>18亿元。积极扩大对外开放，助力企业出海抢单，建成运营龙工场跨境电商产业园，锂电池、重卡盘式制动器、造纸机械等产品抢占俄罗斯、东盟市场，</w:t>
      </w:r>
      <w:r>
        <w:rPr>
          <w:rFonts w:hint="eastAsia" w:ascii="仿宋_GB2312" w:hAnsi="Times New Roman" w:eastAsia="仿宋_GB2312"/>
          <w:sz w:val="32"/>
          <w:szCs w:val="32"/>
          <w:highlight w:val="none"/>
        </w:rPr>
        <w:t>“十四五”</w:t>
      </w:r>
      <w:r>
        <w:rPr>
          <w:rFonts w:hint="eastAsia" w:ascii="仿宋_GB2312" w:hAnsi="Times New Roman" w:eastAsia="仿宋_GB2312"/>
          <w:sz w:val="32"/>
          <w:szCs w:val="32"/>
          <w:highlight w:val="none"/>
          <w:lang w:val="en-US" w:eastAsia="zh-CN"/>
        </w:rPr>
        <w:t>期</w:t>
      </w:r>
      <w:r>
        <w:rPr>
          <w:rFonts w:hint="eastAsia" w:ascii="仿宋_GB2312" w:hAnsi="Times New Roman" w:eastAsia="仿宋_GB2312"/>
          <w:color w:val="auto"/>
          <w:sz w:val="32"/>
          <w:szCs w:val="32"/>
          <w:highlight w:val="none"/>
          <w:lang w:val="en-US" w:eastAsia="zh-CN"/>
        </w:rPr>
        <w:t>间，</w:t>
      </w:r>
      <w:r>
        <w:rPr>
          <w:rFonts w:hint="eastAsia" w:ascii="仿宋_GB2312" w:hAnsi="Times New Roman" w:eastAsia="仿宋_GB2312"/>
          <w:sz w:val="32"/>
          <w:szCs w:val="32"/>
          <w:highlight w:val="none"/>
        </w:rPr>
        <w:t>累计实现进出口贸易总额</w:t>
      </w:r>
      <w:r>
        <w:rPr>
          <w:rFonts w:hint="eastAsia" w:ascii="仿宋_GB2312" w:hAnsi="Times New Roman" w:eastAsia="仿宋_GB2312"/>
          <w:sz w:val="32"/>
          <w:szCs w:val="32"/>
          <w:highlight w:val="none"/>
          <w:lang w:val="en-US" w:eastAsia="zh-CN"/>
        </w:rPr>
        <w:t>97.73</w:t>
      </w:r>
      <w:r>
        <w:rPr>
          <w:rFonts w:hint="eastAsia" w:ascii="仿宋_GB2312" w:hAnsi="Times New Roman" w:eastAsia="仿宋_GB2312"/>
          <w:sz w:val="32"/>
          <w:szCs w:val="32"/>
          <w:highlight w:val="none"/>
        </w:rPr>
        <w:t>亿元</w:t>
      </w:r>
      <w:r>
        <w:rPr>
          <w:rFonts w:hint="eastAsia" w:ascii="仿宋_GB2312" w:hAnsi="Times New Roman" w:eastAsia="仿宋_GB2312"/>
          <w:sz w:val="32"/>
          <w:szCs w:val="32"/>
          <w:highlight w:val="none"/>
          <w:lang w:eastAsia="zh-CN"/>
        </w:rPr>
        <w:t>，</w:t>
      </w:r>
      <w:r>
        <w:rPr>
          <w:rFonts w:hint="eastAsia" w:ascii="仿宋_GB2312" w:hAnsi="Times New Roman" w:eastAsia="仿宋_GB2312"/>
          <w:sz w:val="32"/>
          <w:szCs w:val="32"/>
          <w:highlight w:val="none"/>
        </w:rPr>
        <w:t>利用外资</w:t>
      </w:r>
      <w:r>
        <w:rPr>
          <w:rFonts w:hint="eastAsia" w:ascii="仿宋_GB2312" w:hAnsi="Times New Roman" w:eastAsia="仿宋_GB2312"/>
          <w:sz w:val="32"/>
          <w:szCs w:val="32"/>
          <w:highlight w:val="none"/>
          <w:lang w:val="en-US" w:eastAsia="zh-CN"/>
        </w:rPr>
        <w:t>1.2042</w:t>
      </w:r>
      <w:r>
        <w:rPr>
          <w:rFonts w:hint="eastAsia" w:ascii="仿宋_GB2312" w:hAnsi="Times New Roman" w:eastAsia="仿宋_GB2312"/>
          <w:sz w:val="32"/>
          <w:szCs w:val="32"/>
          <w:highlight w:val="none"/>
        </w:rPr>
        <w:t>亿美元。</w:t>
      </w:r>
    </w:p>
    <w:p w14:paraId="5466D3B1">
      <w:pPr>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——民生福祉达到新水平。</w:t>
      </w:r>
      <w:r>
        <w:rPr>
          <w:rFonts w:hint="eastAsia" w:ascii="仿宋_GB2312" w:hAnsi="仿宋_GB2312" w:eastAsia="仿宋_GB2312" w:cs="仿宋_GB2312"/>
          <w:color w:val="auto"/>
          <w:sz w:val="32"/>
          <w:szCs w:val="32"/>
        </w:rPr>
        <w:t>民生支出占一般公共预算支出比重达到</w:t>
      </w:r>
      <w:r>
        <w:rPr>
          <w:rFonts w:hint="eastAsia" w:ascii="仿宋_GB2312" w:hAnsi="仿宋_GB2312" w:eastAsia="仿宋_GB2312" w:cs="仿宋_GB2312"/>
          <w:color w:val="auto"/>
          <w:sz w:val="32"/>
          <w:szCs w:val="32"/>
          <w:lang w:val="en-US" w:eastAsia="zh-CN"/>
        </w:rPr>
        <w:t>79.2</w:t>
      </w:r>
      <w:r>
        <w:rPr>
          <w:rFonts w:hint="eastAsia" w:ascii="仿宋_GB2312" w:hAnsi="仿宋_GB2312" w:eastAsia="仿宋_GB2312" w:cs="仿宋_GB2312"/>
          <w:color w:val="auto"/>
          <w:sz w:val="32"/>
          <w:szCs w:val="32"/>
        </w:rPr>
        <w:t>%，城乡低保等9类保障标准稳步提高。就业形势总体稳定，“十四五”以来城镇新增就业</w:t>
      </w:r>
      <w:r>
        <w:rPr>
          <w:rFonts w:hint="eastAsia" w:ascii="仿宋_GB2312" w:hAnsi="仿宋_GB2312" w:eastAsia="仿宋_GB2312" w:cs="仿宋_GB2312"/>
          <w:color w:val="auto"/>
          <w:sz w:val="32"/>
          <w:szCs w:val="32"/>
          <w:lang w:val="en-US" w:eastAsia="zh-CN"/>
        </w:rPr>
        <w:t>1.67</w:t>
      </w:r>
      <w:r>
        <w:rPr>
          <w:rFonts w:hint="eastAsia" w:ascii="仿宋_GB2312" w:hAnsi="仿宋_GB2312" w:eastAsia="仿宋_GB2312" w:cs="仿宋_GB2312"/>
          <w:color w:val="auto"/>
          <w:sz w:val="32"/>
          <w:szCs w:val="32"/>
        </w:rPr>
        <w:t>万人。教育事业全面进步，</w:t>
      </w:r>
      <w:r>
        <w:rPr>
          <w:rFonts w:hint="eastAsia" w:ascii="仿宋_GB2312" w:hAnsi="仿宋_GB2312" w:eastAsia="仿宋_GB2312" w:cs="仿宋_GB2312"/>
          <w:color w:val="auto"/>
          <w:sz w:val="32"/>
          <w:szCs w:val="32"/>
          <w:lang w:eastAsia="zh-CN"/>
        </w:rPr>
        <w:t>组建</w:t>
      </w:r>
      <w:r>
        <w:rPr>
          <w:rFonts w:hint="eastAsia" w:ascii="仿宋_GB2312" w:hAnsi="仿宋_GB2312" w:eastAsia="仿宋_GB2312" w:cs="仿宋_GB2312"/>
          <w:color w:val="auto"/>
          <w:sz w:val="32"/>
          <w:szCs w:val="32"/>
        </w:rPr>
        <w:t>四个基础教育集团，先后撤并农村小规模学校</w:t>
      </w:r>
      <w:r>
        <w:rPr>
          <w:rFonts w:hint="eastAsia" w:ascii="仿宋_GB2312" w:hAnsi="仿宋_GB2312" w:eastAsia="仿宋_GB2312" w:cs="仿宋_GB2312"/>
          <w:color w:val="auto"/>
          <w:sz w:val="32"/>
          <w:szCs w:val="32"/>
          <w:lang w:val="en-US" w:eastAsia="zh-CN"/>
        </w:rPr>
        <w:t>18</w:t>
      </w:r>
      <w:r>
        <w:rPr>
          <w:rFonts w:hint="eastAsia" w:ascii="仿宋_GB2312" w:hAnsi="仿宋_GB2312" w:eastAsia="仿宋_GB2312" w:cs="仿宋_GB2312"/>
          <w:color w:val="auto"/>
          <w:sz w:val="32"/>
          <w:szCs w:val="32"/>
        </w:rPr>
        <w:t>所，</w:t>
      </w:r>
      <w:r>
        <w:rPr>
          <w:rFonts w:hint="eastAsia" w:ascii="仿宋_GB2312" w:hAnsi="仿宋_GB2312" w:eastAsia="仿宋_GB2312" w:cs="仿宋_GB2312"/>
          <w:bCs/>
          <w:color w:val="auto"/>
          <w:sz w:val="32"/>
          <w:szCs w:val="32"/>
        </w:rPr>
        <w:t>新增学位1.6</w:t>
      </w:r>
      <w:r>
        <w:rPr>
          <w:rFonts w:hint="eastAsia" w:ascii="仿宋_GB2312" w:hAnsi="仿宋_GB2312" w:eastAsia="仿宋_GB2312" w:cs="仿宋_GB2312"/>
          <w:bCs/>
          <w:color w:val="auto"/>
          <w:sz w:val="32"/>
          <w:szCs w:val="32"/>
          <w:lang w:val="en-US" w:eastAsia="zh-CN"/>
        </w:rPr>
        <w:t>4</w:t>
      </w:r>
      <w:r>
        <w:rPr>
          <w:rFonts w:hint="eastAsia" w:ascii="仿宋_GB2312" w:hAnsi="仿宋_GB2312" w:eastAsia="仿宋_GB2312" w:cs="仿宋_GB2312"/>
          <w:bCs/>
          <w:color w:val="auto"/>
          <w:sz w:val="32"/>
          <w:szCs w:val="32"/>
        </w:rPr>
        <w:t>万个，</w:t>
      </w:r>
      <w:r>
        <w:rPr>
          <w:rFonts w:hint="eastAsia" w:ascii="仿宋_GB2312" w:hAnsi="仿宋_GB2312" w:eastAsia="仿宋_GB2312" w:cs="仿宋_GB2312"/>
          <w:color w:val="auto"/>
          <w:sz w:val="32"/>
          <w:szCs w:val="32"/>
        </w:rPr>
        <w:t>入选全省首批、全市唯一的乡村教育振兴实验区，获评全国义务教育优质均衡发展县，优质校托管实现全覆盖。社保覆盖持续扩大，社会养老保险</w:t>
      </w:r>
      <w:r>
        <w:rPr>
          <w:rFonts w:hint="eastAsia" w:ascii="仿宋_GB2312" w:hAnsi="仿宋_GB2312" w:eastAsia="仿宋_GB2312" w:cs="仿宋_GB2312"/>
          <w:color w:val="auto"/>
          <w:sz w:val="32"/>
          <w:szCs w:val="32"/>
          <w:lang w:eastAsia="zh-CN"/>
        </w:rPr>
        <w:t>参保</w:t>
      </w:r>
      <w:r>
        <w:rPr>
          <w:rFonts w:hint="eastAsia" w:ascii="仿宋_GB2312" w:hAnsi="仿宋_GB2312" w:eastAsia="仿宋_GB2312" w:cs="仿宋_GB2312"/>
          <w:color w:val="auto"/>
          <w:sz w:val="32"/>
          <w:szCs w:val="32"/>
        </w:rPr>
        <w:t>总人数达到</w:t>
      </w:r>
      <w:r>
        <w:rPr>
          <w:rFonts w:hint="eastAsia" w:ascii="仿宋_GB2312" w:hAnsi="仿宋_GB2312" w:eastAsia="仿宋_GB2312" w:cs="仿宋_GB2312"/>
          <w:color w:val="auto"/>
          <w:sz w:val="32"/>
          <w:szCs w:val="32"/>
          <w:lang w:val="en-US" w:eastAsia="zh-CN"/>
        </w:rPr>
        <w:t>23</w:t>
      </w:r>
      <w:r>
        <w:rPr>
          <w:rFonts w:hint="eastAsia" w:ascii="仿宋_GB2312" w:hAnsi="仿宋_GB2312" w:eastAsia="仿宋_GB2312" w:cs="仿宋_GB2312"/>
          <w:color w:val="auto"/>
          <w:sz w:val="32"/>
          <w:szCs w:val="32"/>
        </w:rPr>
        <w:t>万人，创新实施高龄津贴“免申即享”，获评全省社会救助综合改革试点。医疗事业提档发展，完成区人民医院迁建，山东省立医院集团台儿庄医院开诊，区医养结合康复中心</w:t>
      </w:r>
      <w:r>
        <w:rPr>
          <w:rFonts w:hint="eastAsia" w:ascii="仿宋_GB2312" w:hAnsi="仿宋_GB2312" w:eastAsia="仿宋_GB2312" w:cs="仿宋_GB2312"/>
          <w:color w:val="auto"/>
          <w:sz w:val="32"/>
          <w:szCs w:val="32"/>
          <w:lang w:val="en-US" w:eastAsia="zh-CN"/>
        </w:rPr>
        <w:t>投入运营</w:t>
      </w:r>
      <w:r>
        <w:rPr>
          <w:rFonts w:hint="eastAsia" w:ascii="仿宋_GB2312" w:hAnsi="仿宋_GB2312" w:eastAsia="仿宋_GB2312" w:cs="仿宋_GB2312"/>
          <w:color w:val="auto"/>
          <w:sz w:val="32"/>
          <w:szCs w:val="32"/>
        </w:rPr>
        <w:t>，</w:t>
      </w:r>
      <w:r>
        <w:rPr>
          <w:rFonts w:hint="eastAsia" w:ascii="仿宋_GB2312" w:hAnsi="Times New Roman" w:eastAsia="仿宋_GB2312"/>
          <w:color w:val="auto"/>
          <w:sz w:val="32"/>
          <w:szCs w:val="32"/>
          <w:highlight w:val="none"/>
        </w:rPr>
        <w:t>全区132家村卫生室全面达到“五有三提升”标准，其中26家成功创建为样板村卫生室，群众获取优质医疗卫生服务更加便捷。</w:t>
      </w:r>
      <w:r>
        <w:rPr>
          <w:rFonts w:hint="eastAsia" w:ascii="仿宋_GB2312" w:hAnsi="仿宋_GB2312" w:eastAsia="仿宋_GB2312" w:cs="仿宋_GB2312"/>
          <w:color w:val="auto"/>
          <w:sz w:val="32"/>
          <w:szCs w:val="32"/>
        </w:rPr>
        <w:t>养老服务体系更加优化，</w:t>
      </w:r>
      <w:r>
        <w:rPr>
          <w:rFonts w:hint="eastAsia" w:ascii="仿宋_GB2312" w:hAnsi="仿宋_GB2312" w:eastAsia="仿宋_GB2312" w:cs="仿宋_GB2312"/>
          <w:color w:val="auto"/>
          <w:kern w:val="0"/>
          <w:sz w:val="32"/>
          <w:szCs w:val="32"/>
        </w:rPr>
        <w:t>备案养老机构13家，建成</w:t>
      </w:r>
      <w:r>
        <w:rPr>
          <w:rFonts w:hint="eastAsia" w:ascii="仿宋_GB2312" w:hAnsi="仿宋_GB2312" w:eastAsia="仿宋_GB2312" w:cs="仿宋_GB2312"/>
          <w:color w:val="auto"/>
          <w:kern w:val="0"/>
          <w:sz w:val="32"/>
          <w:szCs w:val="32"/>
          <w:lang w:val="en-US" w:eastAsia="zh-CN"/>
        </w:rPr>
        <w:t>镇街</w:t>
      </w:r>
      <w:r>
        <w:rPr>
          <w:rFonts w:hint="eastAsia" w:ascii="仿宋_GB2312" w:hAnsi="仿宋_GB2312" w:eastAsia="仿宋_GB2312" w:cs="仿宋_GB2312"/>
          <w:color w:val="auto"/>
          <w:kern w:val="0"/>
          <w:sz w:val="32"/>
          <w:szCs w:val="32"/>
        </w:rPr>
        <w:t>区域性综合养老服务中心</w:t>
      </w: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rPr>
        <w:t>处，设置养老床位</w:t>
      </w:r>
      <w:r>
        <w:rPr>
          <w:rFonts w:hint="eastAsia" w:ascii="仿宋_GB2312" w:hAnsi="仿宋_GB2312" w:eastAsia="仿宋_GB2312" w:cs="仿宋_GB2312"/>
          <w:color w:val="auto"/>
          <w:kern w:val="0"/>
          <w:sz w:val="32"/>
          <w:szCs w:val="32"/>
          <w:lang w:val="en-US" w:eastAsia="zh-CN"/>
        </w:rPr>
        <w:t>1749</w:t>
      </w:r>
      <w:r>
        <w:rPr>
          <w:rFonts w:hint="eastAsia" w:ascii="仿宋_GB2312" w:hAnsi="仿宋_GB2312" w:eastAsia="仿宋_GB2312" w:cs="仿宋_GB2312"/>
          <w:color w:val="auto"/>
          <w:kern w:val="0"/>
          <w:sz w:val="32"/>
          <w:szCs w:val="32"/>
        </w:rPr>
        <w:t>张。</w:t>
      </w:r>
      <w:r>
        <w:rPr>
          <w:rFonts w:hint="eastAsia" w:ascii="仿宋_GB2312" w:hAnsi="仿宋_GB2312" w:eastAsia="仿宋_GB2312" w:cs="仿宋_GB2312"/>
          <w:color w:val="auto"/>
          <w:sz w:val="32"/>
          <w:szCs w:val="32"/>
        </w:rPr>
        <w:t>人民武装、退役军人、民族宗教、港澳台侨、妇女儿童、</w:t>
      </w:r>
      <w:r>
        <w:rPr>
          <w:rFonts w:hint="eastAsia" w:ascii="仿宋_GB2312" w:hAnsi="仿宋_GB2312" w:eastAsia="仿宋_GB2312" w:cs="仿宋_GB2312"/>
          <w:color w:val="auto"/>
          <w:sz w:val="32"/>
          <w:szCs w:val="32"/>
          <w:lang w:val="en-US" w:eastAsia="zh-CN"/>
        </w:rPr>
        <w:t>共青团、</w:t>
      </w:r>
      <w:r>
        <w:rPr>
          <w:rFonts w:hint="eastAsia" w:ascii="仿宋_GB2312" w:hAnsi="仿宋_GB2312" w:eastAsia="仿宋_GB2312" w:cs="仿宋_GB2312"/>
          <w:color w:val="auto"/>
          <w:sz w:val="32"/>
          <w:szCs w:val="32"/>
        </w:rPr>
        <w:t>红十字、供销社、工会、科协、史志、档案、消防、气象、水文等各项事业均取得新进展。</w:t>
      </w:r>
    </w:p>
    <w:p w14:paraId="2F0352CB">
      <w:pPr>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——区域治理实现新提升。</w:t>
      </w:r>
      <w:r>
        <w:rPr>
          <w:rFonts w:hint="eastAsia" w:ascii="仿宋_GB2312" w:hAnsi="仿宋_GB2312" w:eastAsia="仿宋_GB2312" w:cs="仿宋_GB2312"/>
          <w:color w:val="auto"/>
          <w:sz w:val="32"/>
          <w:szCs w:val="32"/>
        </w:rPr>
        <w:t>推进安全生产治本攻坚</w:t>
      </w:r>
      <w:r>
        <w:rPr>
          <w:rFonts w:hint="eastAsia" w:ascii="仿宋_GB2312" w:hAnsi="仿宋_GB2312" w:eastAsia="仿宋_GB2312" w:cs="仿宋_GB2312"/>
          <w:color w:val="auto"/>
          <w:sz w:val="32"/>
          <w:szCs w:val="32"/>
          <w:lang w:eastAsia="zh-CN"/>
        </w:rPr>
        <w:t>和扫黑除恶常态化</w:t>
      </w:r>
      <w:r>
        <w:rPr>
          <w:rFonts w:hint="eastAsia" w:ascii="仿宋_GB2312" w:hAnsi="仿宋_GB2312" w:eastAsia="仿宋_GB2312" w:cs="仿宋_GB2312"/>
          <w:color w:val="auto"/>
          <w:sz w:val="32"/>
          <w:szCs w:val="32"/>
        </w:rPr>
        <w:t>，严厉打击电信</w:t>
      </w:r>
      <w:r>
        <w:rPr>
          <w:rFonts w:hint="eastAsia" w:ascii="仿宋_GB2312" w:hAnsi="仿宋_GB2312" w:eastAsia="仿宋_GB2312" w:cs="仿宋_GB2312"/>
          <w:color w:val="auto"/>
          <w:sz w:val="32"/>
          <w:szCs w:val="32"/>
          <w:lang w:eastAsia="zh-CN"/>
        </w:rPr>
        <w:t>网络</w:t>
      </w:r>
      <w:r>
        <w:rPr>
          <w:rFonts w:hint="eastAsia" w:ascii="仿宋_GB2312" w:hAnsi="仿宋_GB2312" w:eastAsia="仿宋_GB2312" w:cs="仿宋_GB2312"/>
          <w:color w:val="auto"/>
          <w:sz w:val="32"/>
          <w:szCs w:val="32"/>
        </w:rPr>
        <w:t>诈骗等违法犯罪行为，社会大局</w:t>
      </w:r>
      <w:r>
        <w:rPr>
          <w:rFonts w:hint="eastAsia" w:ascii="仿宋_GB2312" w:hAnsi="仿宋_GB2312" w:eastAsia="仿宋_GB2312" w:cs="仿宋_GB2312"/>
          <w:color w:val="auto"/>
          <w:sz w:val="32"/>
          <w:szCs w:val="32"/>
          <w:lang w:eastAsia="zh-CN"/>
        </w:rPr>
        <w:t>持续安全</w:t>
      </w:r>
      <w:r>
        <w:rPr>
          <w:rFonts w:hint="eastAsia" w:ascii="仿宋_GB2312" w:hAnsi="仿宋_GB2312" w:eastAsia="仿宋_GB2312" w:cs="仿宋_GB2312"/>
          <w:color w:val="auto"/>
          <w:sz w:val="32"/>
          <w:szCs w:val="32"/>
        </w:rPr>
        <w:t>稳定。践行新时代“枫桥经验”，高效运行“枣解决·枣满意”平台、12345政务热线，</w:t>
      </w:r>
      <w:r>
        <w:rPr>
          <w:rFonts w:hint="eastAsia" w:ascii="仿宋_GB2312" w:hAnsi="仿宋_GB2312" w:eastAsia="仿宋_GB2312" w:cs="仿宋_GB2312"/>
          <w:bCs/>
          <w:color w:val="auto"/>
          <w:sz w:val="32"/>
          <w:szCs w:val="32"/>
        </w:rPr>
        <w:t>推动区、镇两级综治中心规范化、实体化运行，基本实现“小事不出村（社区）、大事不出镇（街）、矛盾不上交”，</w:t>
      </w:r>
      <w:r>
        <w:rPr>
          <w:rFonts w:hint="eastAsia" w:ascii="仿宋_GB2312" w:hAnsi="仿宋_GB2312" w:eastAsia="仿宋_GB2312" w:cs="仿宋_GB2312"/>
          <w:color w:val="auto"/>
          <w:sz w:val="32"/>
          <w:szCs w:val="32"/>
        </w:rPr>
        <w:t>获评全省首批“信访工作示范县”。扎实开展普法工作，完善政府法律顾问制度，严格规范执法行为。树牢重实干重实绩导向，深入开展高质量发展综合绩效考核，“区市镇街比发展、职能部门比业绩、市场主体比效益”的生动局面蔚然成风。持续开展党纪学习教育，严格落实中央八项规定及其实施细则精神，推进党风廉政建设和反腐败斗争，锲而不舍纠“四风”树新风，干部清正、政府清廉、政治清明的良好生态持续巩固。</w:t>
      </w:r>
    </w:p>
    <w:p w14:paraId="33D01FE4">
      <w:pPr>
        <w:pStyle w:val="6"/>
        <w:pageBreakBefore w:val="0"/>
        <w:widowControl w:val="0"/>
        <w:kinsoku/>
        <w:wordWrap/>
        <w:overflowPunct/>
        <w:topLinePunct w:val="0"/>
        <w:autoSpaceDE/>
        <w:autoSpaceDN/>
        <w:bidi w:val="0"/>
        <w:spacing w:line="600" w:lineRule="exact"/>
        <w:textAlignment w:val="auto"/>
        <w:rPr>
          <w:rFonts w:hint="eastAsia"/>
          <w:color w:val="auto"/>
        </w:rPr>
      </w:pPr>
      <w:bookmarkStart w:id="2" w:name="_Toc31056"/>
      <w:r>
        <w:rPr>
          <w:rFonts w:hint="eastAsia"/>
          <w:color w:val="auto"/>
        </w:rPr>
        <w:t>第二节“十五五”时期面临新机遇新挑战</w:t>
      </w:r>
      <w:bookmarkEnd w:id="2"/>
    </w:p>
    <w:p w14:paraId="10922187">
      <w:pPr>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color w:val="auto"/>
          <w:spacing w:val="0"/>
          <w:sz w:val="32"/>
          <w:szCs w:val="32"/>
          <w:highlight w:val="yellow"/>
          <w:u w:val="none" w:color="auto"/>
          <w:lang w:val="en-US" w:eastAsia="zh-CN"/>
        </w:rPr>
      </w:pPr>
      <w:r>
        <w:rPr>
          <w:rFonts w:hint="eastAsia" w:ascii="仿宋_GB2312" w:hAnsi="仿宋_GB2312" w:eastAsia="仿宋_GB2312" w:cs="仿宋_GB2312"/>
          <w:color w:val="auto"/>
          <w:sz w:val="32"/>
          <w:szCs w:val="32"/>
        </w:rPr>
        <w:t>展望“十五五”时期，世界百年未有之大变局加速演进，我国进入基本实现社会主义现代化承上启下的关键时期，山东省坚定扛牢“走在前、挑大梁”使命担当，打造北方地区经济重要增长极、绿色低碳高质量发展先行区、对外开放新高地，枣庄市锚定“资源型城市绿色低碳转型发展引领市”总体发展定位，大力实施“强工兴产、转型发展”战略，集中力量打造新能源产业制造基地、大运河文化旅游名城，迎来推进现代化强市建设的重要阶段。我区要坚定信心，抓好用足五大发展新机遇：</w:t>
      </w:r>
      <w:r>
        <w:rPr>
          <w:rFonts w:hint="eastAsia" w:ascii="仿宋_GB2312" w:hAnsi="仿宋_GB2312" w:eastAsia="仿宋_GB2312" w:cs="仿宋_GB2312"/>
          <w:b/>
          <w:bCs/>
          <w:color w:val="auto"/>
          <w:spacing w:val="0"/>
          <w:sz w:val="32"/>
          <w:szCs w:val="32"/>
          <w:highlight w:val="none"/>
          <w:u w:val="none" w:color="auto"/>
        </w:rPr>
        <w:t>科技革命与新质生产力发展新机遇，</w:t>
      </w:r>
      <w:r>
        <w:rPr>
          <w:rFonts w:hint="eastAsia" w:ascii="仿宋_GB2312" w:hAnsi="仿宋_GB2312" w:eastAsia="仿宋_GB2312" w:cs="仿宋_GB2312"/>
          <w:color w:val="auto"/>
          <w:spacing w:val="0"/>
          <w:sz w:val="32"/>
          <w:szCs w:val="32"/>
          <w:highlight w:val="none"/>
          <w:u w:val="none" w:color="auto"/>
        </w:rPr>
        <w:t>有利于台儿庄纵深推进“强工兴产、项目突破”，有效推动传统产业向“新”突破、新兴产业集群成势，加快推进数字经济、人工智能与实体经济深度融合，培育壮大先进制造业集群。</w:t>
      </w:r>
      <w:r>
        <w:rPr>
          <w:rFonts w:hint="eastAsia" w:ascii="仿宋_GB2312" w:hAnsi="仿宋_GB2312" w:eastAsia="仿宋_GB2312" w:cs="仿宋_GB2312"/>
          <w:b/>
          <w:bCs/>
          <w:color w:val="auto"/>
          <w:spacing w:val="0"/>
          <w:sz w:val="32"/>
          <w:szCs w:val="32"/>
          <w:highlight w:val="none"/>
          <w:u w:val="none" w:color="auto"/>
        </w:rPr>
        <w:t>提振消费与扩大内需新机遇，</w:t>
      </w:r>
      <w:r>
        <w:rPr>
          <w:rFonts w:hint="eastAsia" w:ascii="仿宋_GB2312" w:hAnsi="仿宋_GB2312" w:eastAsia="仿宋_GB2312" w:cs="仿宋_GB2312"/>
          <w:color w:val="auto"/>
          <w:spacing w:val="0"/>
          <w:sz w:val="32"/>
          <w:szCs w:val="32"/>
          <w:highlight w:val="none"/>
          <w:u w:val="none" w:color="auto"/>
        </w:rPr>
        <w:t>有利于台儿庄发挥文旅、绿色农产品</w:t>
      </w:r>
      <w:r>
        <w:rPr>
          <w:rFonts w:hint="eastAsia" w:ascii="仿宋_GB2312" w:hAnsi="仿宋_GB2312" w:eastAsia="仿宋_GB2312" w:cs="仿宋_GB2312"/>
          <w:color w:val="auto"/>
          <w:spacing w:val="0"/>
          <w:sz w:val="32"/>
          <w:szCs w:val="32"/>
          <w:highlight w:val="none"/>
          <w:u w:val="none" w:color="auto"/>
          <w:lang w:val="en-US" w:eastAsia="zh-CN"/>
        </w:rPr>
        <w:t>等</w:t>
      </w:r>
      <w:r>
        <w:rPr>
          <w:rFonts w:hint="eastAsia" w:ascii="仿宋_GB2312" w:hAnsi="仿宋_GB2312" w:eastAsia="仿宋_GB2312" w:cs="仿宋_GB2312"/>
          <w:color w:val="auto"/>
          <w:spacing w:val="0"/>
          <w:sz w:val="32"/>
          <w:szCs w:val="32"/>
          <w:highlight w:val="none"/>
          <w:u w:val="none" w:color="auto"/>
        </w:rPr>
        <w:t>资源优势，放大古城品牌效应，加强运河文化、红色文化、民俗文化和“土特产”开发，推出更多个性化、多样化、高质量的文旅产品，打造高品质旅游目的地。</w:t>
      </w:r>
      <w:r>
        <w:rPr>
          <w:rFonts w:hint="eastAsia" w:ascii="仿宋_GB2312" w:hAnsi="仿宋_GB2312" w:eastAsia="仿宋_GB2312" w:cs="仿宋_GB2312"/>
          <w:b/>
          <w:bCs/>
          <w:color w:val="auto"/>
          <w:spacing w:val="0"/>
          <w:sz w:val="32"/>
          <w:szCs w:val="32"/>
          <w:highlight w:val="none"/>
          <w:u w:val="none" w:color="auto"/>
        </w:rPr>
        <w:t>重大战略与区域合作新机遇，</w:t>
      </w:r>
      <w:r>
        <w:rPr>
          <w:rFonts w:hint="eastAsia" w:ascii="仿宋_GB2312" w:hAnsi="仿宋_GB2312" w:eastAsia="仿宋_GB2312" w:cs="仿宋_GB2312"/>
          <w:color w:val="auto"/>
          <w:spacing w:val="0"/>
          <w:sz w:val="32"/>
          <w:szCs w:val="32"/>
          <w:highlight w:val="none"/>
          <w:u w:val="none" w:color="auto"/>
        </w:rPr>
        <w:t>有利于台儿庄发挥地处鲁苏交界、京杭大运河沿线的区位优势，积极对接融入</w:t>
      </w:r>
      <w:r>
        <w:rPr>
          <w:rFonts w:hint="eastAsia" w:ascii="仿宋_GB2312" w:hAnsi="仿宋_GB2312" w:eastAsia="仿宋_GB2312" w:cs="仿宋_GB2312"/>
          <w:color w:val="auto"/>
          <w:spacing w:val="0"/>
          <w:sz w:val="32"/>
          <w:szCs w:val="32"/>
          <w:highlight w:val="none"/>
          <w:u w:val="none" w:color="auto"/>
          <w:lang w:val="en-US" w:eastAsia="zh-CN"/>
        </w:rPr>
        <w:t>京津冀、</w:t>
      </w:r>
      <w:r>
        <w:rPr>
          <w:rFonts w:hint="eastAsia" w:ascii="仿宋_GB2312" w:hAnsi="仿宋_GB2312" w:eastAsia="仿宋_GB2312" w:cs="仿宋_GB2312"/>
          <w:color w:val="auto"/>
          <w:spacing w:val="0"/>
          <w:sz w:val="32"/>
          <w:szCs w:val="32"/>
          <w:highlight w:val="none"/>
          <w:u w:val="none" w:color="auto"/>
        </w:rPr>
        <w:t>长三角，深化与黄岛区协作，加强平台共建、承接产业转移，更好融入区域发展格局。</w:t>
      </w:r>
      <w:r>
        <w:rPr>
          <w:rFonts w:hint="eastAsia" w:ascii="仿宋_GB2312" w:hAnsi="仿宋_GB2312" w:eastAsia="仿宋_GB2312" w:cs="仿宋_GB2312"/>
          <w:b/>
          <w:bCs/>
          <w:color w:val="auto"/>
          <w:spacing w:val="0"/>
          <w:sz w:val="32"/>
          <w:szCs w:val="32"/>
          <w:highlight w:val="none"/>
          <w:u w:val="none" w:color="auto"/>
        </w:rPr>
        <w:t>交通基础设施突破新机遇，</w:t>
      </w:r>
      <w:r>
        <w:rPr>
          <w:rFonts w:hint="eastAsia" w:ascii="仿宋_GB2312" w:hAnsi="仿宋_GB2312" w:eastAsia="仿宋_GB2312" w:cs="仿宋_GB2312"/>
          <w:color w:val="auto"/>
          <w:spacing w:val="0"/>
          <w:sz w:val="32"/>
          <w:szCs w:val="32"/>
          <w:highlight w:val="none"/>
          <w:u w:val="none" w:color="auto"/>
          <w:lang w:val="en-US" w:eastAsia="zh-CN"/>
        </w:rPr>
        <w:t>济枣高铁南延、新台高速南延、区综合客运枢纽、临港工业园、通用机场等工程建设，有利于完善陆水空铁综合交通网络，打造立足枣庄、辐射鲁南经济圈、联通南北的交通枢纽城市。</w:t>
      </w:r>
      <w:r>
        <w:rPr>
          <w:rFonts w:hint="eastAsia" w:ascii="仿宋_GB2312" w:hAnsi="仿宋_GB2312" w:eastAsia="仿宋_GB2312" w:cs="仿宋_GB2312"/>
          <w:b/>
          <w:bCs/>
          <w:color w:val="auto"/>
          <w:spacing w:val="0"/>
          <w:sz w:val="32"/>
          <w:szCs w:val="32"/>
          <w:highlight w:val="none"/>
          <w:u w:val="none" w:color="auto"/>
        </w:rPr>
        <w:t>新型城镇化和城乡融合发展</w:t>
      </w:r>
      <w:r>
        <w:rPr>
          <w:rFonts w:hint="eastAsia" w:ascii="仿宋_GB2312" w:hAnsi="仿宋_GB2312" w:eastAsia="仿宋_GB2312" w:cs="仿宋_GB2312"/>
          <w:b/>
          <w:bCs/>
          <w:color w:val="auto"/>
          <w:spacing w:val="0"/>
          <w:sz w:val="32"/>
          <w:szCs w:val="32"/>
          <w:highlight w:val="none"/>
          <w:u w:val="none" w:color="auto"/>
          <w:lang w:val="en-US" w:eastAsia="zh-CN"/>
        </w:rPr>
        <w:t>新</w:t>
      </w:r>
      <w:r>
        <w:rPr>
          <w:rFonts w:hint="eastAsia" w:ascii="仿宋_GB2312" w:hAnsi="仿宋_GB2312" w:eastAsia="仿宋_GB2312" w:cs="仿宋_GB2312"/>
          <w:b/>
          <w:bCs/>
          <w:color w:val="auto"/>
          <w:spacing w:val="0"/>
          <w:sz w:val="32"/>
          <w:szCs w:val="32"/>
          <w:highlight w:val="none"/>
          <w:u w:val="none" w:color="auto"/>
        </w:rPr>
        <w:t>机遇，</w:t>
      </w:r>
      <w:r>
        <w:rPr>
          <w:rFonts w:hint="eastAsia" w:ascii="仿宋_GB2312" w:hAnsi="仿宋_GB2312" w:eastAsia="仿宋_GB2312" w:cs="仿宋_GB2312"/>
          <w:color w:val="auto"/>
          <w:spacing w:val="0"/>
          <w:sz w:val="32"/>
          <w:szCs w:val="32"/>
          <w:highlight w:val="none"/>
          <w:u w:val="none" w:color="auto"/>
        </w:rPr>
        <w:t>有利于台儿庄用好县域经济</w:t>
      </w:r>
      <w:r>
        <w:rPr>
          <w:rFonts w:hint="eastAsia" w:ascii="仿宋_GB2312" w:hAnsi="仿宋_GB2312" w:eastAsia="仿宋_GB2312" w:cs="仿宋_GB2312"/>
          <w:color w:val="auto"/>
          <w:spacing w:val="0"/>
          <w:sz w:val="32"/>
          <w:szCs w:val="32"/>
          <w:highlight w:val="none"/>
          <w:u w:val="none" w:color="auto"/>
          <w:lang w:val="en-US" w:eastAsia="zh-CN"/>
        </w:rPr>
        <w:t>高质量</w:t>
      </w:r>
      <w:r>
        <w:rPr>
          <w:rFonts w:hint="eastAsia" w:ascii="仿宋_GB2312" w:hAnsi="仿宋_GB2312" w:eastAsia="仿宋_GB2312" w:cs="仿宋_GB2312"/>
          <w:color w:val="auto"/>
          <w:spacing w:val="0"/>
          <w:sz w:val="32"/>
          <w:szCs w:val="32"/>
          <w:highlight w:val="none"/>
          <w:u w:val="none" w:color="auto"/>
        </w:rPr>
        <w:t>发展试点、</w:t>
      </w:r>
      <w:r>
        <w:rPr>
          <w:rFonts w:hint="eastAsia" w:ascii="仿宋_GB2312" w:hAnsi="仿宋_GB2312" w:eastAsia="仿宋_GB2312" w:cs="仿宋_GB2312"/>
          <w:color w:val="auto"/>
          <w:spacing w:val="0"/>
          <w:sz w:val="32"/>
          <w:szCs w:val="32"/>
          <w:highlight w:val="none"/>
          <w:u w:val="none" w:color="auto"/>
          <w:lang w:val="en-US" w:eastAsia="zh-CN"/>
        </w:rPr>
        <w:t>以县城为载体的城镇化</w:t>
      </w:r>
      <w:r>
        <w:rPr>
          <w:rFonts w:hint="eastAsia" w:ascii="仿宋_GB2312" w:hAnsi="仿宋_GB2312" w:eastAsia="仿宋_GB2312" w:cs="仿宋_GB2312"/>
          <w:color w:val="auto"/>
          <w:spacing w:val="0"/>
          <w:sz w:val="32"/>
          <w:szCs w:val="32"/>
          <w:highlight w:val="none"/>
          <w:u w:val="none" w:color="auto"/>
        </w:rPr>
        <w:t>等政策</w:t>
      </w:r>
      <w:r>
        <w:rPr>
          <w:rFonts w:hint="eastAsia" w:ascii="仿宋_GB2312" w:hAnsi="仿宋_GB2312" w:eastAsia="仿宋_GB2312" w:cs="仿宋_GB2312"/>
          <w:color w:val="auto"/>
          <w:spacing w:val="0"/>
          <w:sz w:val="32"/>
          <w:szCs w:val="32"/>
          <w:highlight w:val="none"/>
          <w:u w:val="none" w:color="auto"/>
          <w:lang w:val="en-US" w:eastAsia="zh-CN"/>
        </w:rPr>
        <w:t>，稳步提高城镇化质量和水平，释放新型城镇化蕴藏的巨大内需潜力，</w:t>
      </w:r>
      <w:r>
        <w:rPr>
          <w:rFonts w:hint="default" w:ascii="仿宋_GB2312" w:hAnsi="仿宋_GB2312" w:eastAsia="仿宋_GB2312" w:cs="仿宋_GB2312"/>
          <w:color w:val="auto"/>
          <w:spacing w:val="0"/>
          <w:sz w:val="32"/>
          <w:szCs w:val="32"/>
          <w:highlight w:val="none"/>
          <w:u w:val="none" w:color="auto"/>
          <w:lang w:val="en-US" w:eastAsia="zh-CN"/>
        </w:rPr>
        <w:t>形成更加均衡的发展格局</w:t>
      </w:r>
      <w:r>
        <w:rPr>
          <w:rFonts w:hint="eastAsia" w:ascii="仿宋_GB2312" w:hAnsi="仿宋_GB2312" w:eastAsia="仿宋_GB2312" w:cs="仿宋_GB2312"/>
          <w:color w:val="auto"/>
          <w:spacing w:val="0"/>
          <w:sz w:val="32"/>
          <w:szCs w:val="32"/>
          <w:highlight w:val="none"/>
          <w:u w:val="none" w:color="auto"/>
          <w:lang w:val="en-US" w:eastAsia="zh-CN"/>
        </w:rPr>
        <w:t>。</w:t>
      </w:r>
    </w:p>
    <w:p w14:paraId="3F7C195E">
      <w:pPr>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但也要清醒地认识到，今后一段时期我区需要应对的风险挑战仍然不少，补齐短板的任务依旧紧迫：一是城市能级不够强，经济体量偏小，产业竞争力、创新要素集聚力、对外影响辐射力与先进地区相比还有较大差距。二是科技创新能力较弱，研发投入强度偏低，现有研发平台规模小、能级低，产业科技领军人才和高层次创新人才团队匮乏，牵动性大的科技成果转化项目少。三是资源要素约束</w:t>
      </w:r>
      <w:r>
        <w:rPr>
          <w:rFonts w:hint="eastAsia" w:ascii="仿宋_GB2312" w:hAnsi="仿宋_GB2312" w:eastAsia="仿宋_GB2312" w:cs="仿宋_GB2312"/>
          <w:color w:val="auto"/>
          <w:sz w:val="32"/>
          <w:szCs w:val="32"/>
          <w:lang w:val="en-US" w:eastAsia="zh-CN"/>
        </w:rPr>
        <w:t>趋紧</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kern w:val="0"/>
          <w:sz w:val="32"/>
          <w:szCs w:val="32"/>
          <w:lang w:bidi="ar"/>
        </w:rPr>
        <w:t>产业结构和能源结构有待进一步优化，机制砂、板材、人造石英石等传统产业治理水平相对落后，</w:t>
      </w:r>
      <w:r>
        <w:rPr>
          <w:rFonts w:hint="eastAsia" w:ascii="仿宋_GB2312" w:hAnsi="仿宋_GB2312" w:eastAsia="仿宋_GB2312" w:cs="仿宋_GB2312"/>
          <w:color w:val="auto"/>
          <w:kern w:val="0"/>
          <w:sz w:val="32"/>
          <w:szCs w:val="32"/>
          <w:lang w:eastAsia="zh-CN" w:bidi="ar"/>
        </w:rPr>
        <w:t>生态系统质量和稳定性</w:t>
      </w:r>
      <w:r>
        <w:rPr>
          <w:rFonts w:hint="eastAsia" w:ascii="仿宋_GB2312" w:hAnsi="仿宋_GB2312" w:eastAsia="仿宋_GB2312" w:cs="仿宋_GB2312"/>
          <w:color w:val="auto"/>
          <w:kern w:val="0"/>
          <w:sz w:val="32"/>
          <w:szCs w:val="32"/>
          <w:lang w:bidi="ar"/>
        </w:rPr>
        <w:t>仍需提升。</w:t>
      </w:r>
      <w:r>
        <w:rPr>
          <w:rFonts w:hint="eastAsia" w:ascii="仿宋_GB2312" w:hAnsi="仿宋_GB2312" w:eastAsia="仿宋_GB2312" w:cs="仿宋_GB2312"/>
          <w:color w:val="auto"/>
          <w:sz w:val="32"/>
          <w:szCs w:val="32"/>
        </w:rPr>
        <w:t>四是民生供给有弱项，老龄化程度加剧下医养结合、老年慢性病管理需求激增，优化生育政策下托育服务、优生优育、儿童健康管理需求显著增加，</w:t>
      </w:r>
      <w:r>
        <w:rPr>
          <w:rFonts w:hint="eastAsia" w:ascii="仿宋_GB2312" w:hAnsi="Times New Roman" w:eastAsia="仿宋_GB2312"/>
          <w:color w:val="auto"/>
          <w:sz w:val="32"/>
          <w:szCs w:val="32"/>
        </w:rPr>
        <w:t>优化“一老一小”服务</w:t>
      </w:r>
      <w:r>
        <w:rPr>
          <w:rFonts w:ascii="仿宋_GB2312" w:hAnsi="Times New Roman" w:eastAsia="仿宋_GB2312"/>
          <w:color w:val="auto"/>
          <w:sz w:val="32"/>
          <w:szCs w:val="32"/>
        </w:rPr>
        <w:t>供给</w:t>
      </w:r>
      <w:r>
        <w:rPr>
          <w:rFonts w:hint="eastAsia" w:ascii="仿宋_GB2312" w:hAnsi="Times New Roman" w:eastAsia="仿宋_GB2312"/>
          <w:color w:val="auto"/>
          <w:sz w:val="32"/>
          <w:szCs w:val="32"/>
        </w:rPr>
        <w:t>、推动人口高质量发展面临更大压力。五是统筹发</w:t>
      </w:r>
      <w:r>
        <w:rPr>
          <w:rFonts w:hint="eastAsia" w:ascii="仿宋_GB2312" w:hAnsi="仿宋_GB2312" w:eastAsia="仿宋_GB2312" w:cs="仿宋_GB2312"/>
          <w:color w:val="auto"/>
          <w:sz w:val="32"/>
          <w:szCs w:val="32"/>
        </w:rPr>
        <w:t>展和安全面临多重压力，财政收支平衡压力增大与化解房地产、地方债务、中小金融机构等风险交织，文明建设、平安建设、法治建设实效性有待加强，</w:t>
      </w:r>
      <w:r>
        <w:rPr>
          <w:rFonts w:hint="eastAsia" w:ascii="仿宋_GB2312" w:hAnsi="仿宋_GB2312" w:eastAsia="仿宋_GB2312" w:cs="仿宋_GB2312"/>
          <w:color w:val="auto"/>
          <w:sz w:val="32"/>
          <w:szCs w:val="32"/>
          <w:lang w:eastAsia="zh-CN"/>
        </w:rPr>
        <w:t>治理体系和治理能力现代化</w:t>
      </w:r>
      <w:r>
        <w:rPr>
          <w:rFonts w:hint="eastAsia" w:ascii="仿宋_GB2312" w:hAnsi="仿宋_GB2312" w:eastAsia="仿宋_GB2312" w:cs="仿宋_GB2312"/>
          <w:color w:val="auto"/>
          <w:sz w:val="32"/>
          <w:szCs w:val="32"/>
        </w:rPr>
        <w:t>水平亟待提升。</w:t>
      </w:r>
    </w:p>
    <w:p w14:paraId="14F0415D">
      <w:pPr>
        <w:pStyle w:val="12"/>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面向“十五五”时期，必须立足我区实际、找准发展定位、发挥比较优势，突出大局所需、群众所盼、未来所向，聚焦“强工兴产、转型发展”任务目标，增强“走在前列”的争先意识和“突破常规”的创新思维，加力提效开展工作，大胆试、大胆闯、大胆干</w:t>
      </w:r>
      <w:r>
        <w:rPr>
          <w:rFonts w:hint="eastAsia" w:ascii="仿宋_GB2312" w:hAnsi="Times New Roman" w:eastAsia="仿宋_GB2312"/>
          <w:color w:val="auto"/>
          <w:sz w:val="32"/>
          <w:szCs w:val="32"/>
        </w:rPr>
        <w:t>，</w:t>
      </w:r>
      <w:r>
        <w:rPr>
          <w:rFonts w:hint="eastAsia" w:ascii="仿宋_GB2312" w:hAnsi="仿宋_GB2312" w:eastAsia="仿宋_GB2312" w:cs="仿宋_GB2312"/>
          <w:color w:val="auto"/>
          <w:sz w:val="32"/>
          <w:szCs w:val="32"/>
        </w:rPr>
        <w:t>加快县域经济跨越</w:t>
      </w:r>
      <w:r>
        <w:rPr>
          <w:rFonts w:hint="eastAsia" w:ascii="仿宋_GB2312" w:hAnsi="仿宋_GB2312" w:eastAsia="仿宋_GB2312" w:cs="仿宋_GB2312"/>
          <w:color w:val="auto"/>
          <w:sz w:val="32"/>
          <w:szCs w:val="32"/>
          <w:lang w:val="en-US" w:eastAsia="zh-CN"/>
        </w:rPr>
        <w:t>发展</w:t>
      </w:r>
      <w:r>
        <w:rPr>
          <w:rFonts w:hint="eastAsia" w:ascii="仿宋_GB2312" w:hAnsi="仿宋_GB2312" w:eastAsia="仿宋_GB2312" w:cs="仿宋_GB2312"/>
          <w:color w:val="auto"/>
          <w:sz w:val="32"/>
          <w:szCs w:val="32"/>
        </w:rPr>
        <w:t>，全力推动高质量发展迈上新台阶。</w:t>
      </w:r>
    </w:p>
    <w:p w14:paraId="4C45EF49">
      <w:pPr>
        <w:pStyle w:val="6"/>
        <w:pageBreakBefore w:val="0"/>
        <w:widowControl w:val="0"/>
        <w:kinsoku/>
        <w:wordWrap/>
        <w:overflowPunct/>
        <w:topLinePunct w:val="0"/>
        <w:autoSpaceDE/>
        <w:autoSpaceDN/>
        <w:bidi w:val="0"/>
        <w:spacing w:line="600" w:lineRule="exact"/>
        <w:textAlignment w:val="auto"/>
        <w:rPr>
          <w:rFonts w:hint="eastAsia"/>
          <w:color w:val="auto"/>
        </w:rPr>
      </w:pPr>
      <w:bookmarkStart w:id="3" w:name="_Toc13183"/>
      <w:r>
        <w:rPr>
          <w:rFonts w:hint="eastAsia"/>
          <w:color w:val="auto"/>
        </w:rPr>
        <w:t>第三节“十五五”</w:t>
      </w:r>
      <w:r>
        <w:rPr>
          <w:rFonts w:hint="eastAsia"/>
          <w:color w:val="auto"/>
          <w:lang w:val="en-US" w:eastAsia="zh-CN"/>
        </w:rPr>
        <w:t>时期</w:t>
      </w:r>
      <w:r>
        <w:rPr>
          <w:rFonts w:hint="eastAsia"/>
          <w:color w:val="auto"/>
        </w:rPr>
        <w:t>经济社会发展的</w:t>
      </w:r>
      <w:r>
        <w:rPr>
          <w:color w:val="auto"/>
        </w:rPr>
        <w:t>指导</w:t>
      </w:r>
      <w:r>
        <w:rPr>
          <w:rFonts w:hint="eastAsia"/>
          <w:color w:val="auto"/>
        </w:rPr>
        <w:t>方针</w:t>
      </w:r>
      <w:bookmarkEnd w:id="3"/>
    </w:p>
    <w:p w14:paraId="4640FD06">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坚持马克思列宁主义、毛泽东思想、邓小平理论、“三个代表”重要思想、科学发展观，</w:t>
      </w:r>
      <w:r>
        <w:rPr>
          <w:rFonts w:hint="eastAsia" w:ascii="仿宋_GB2312" w:hAnsi="仿宋_GB2312" w:eastAsia="仿宋_GB2312" w:cs="仿宋_GB2312"/>
          <w:i w:val="0"/>
          <w:caps w:val="0"/>
          <w:color w:val="auto"/>
          <w:spacing w:val="0"/>
          <w:kern w:val="0"/>
          <w:sz w:val="32"/>
          <w:szCs w:val="32"/>
          <w:highlight w:val="none"/>
          <w:u w:val="none" w:color="auto"/>
          <w:lang w:val="en-US" w:eastAsia="zh-CN" w:bidi="ar"/>
        </w:rPr>
        <w:t>以习近平新时代中国特色社会主义思想为指导，全面落实党的二十大和二十届历次全会精神，深入贯彻习近平总书记视察山东重要讲话精神和视察枣庄重要指示精神，完整准确全面贯彻新发展理念，主动服务和融入新发展格局，坚定扛牢“走在前、挑大梁”使命担当，聚焦全市“强工兴产、转型发展”战略和“资源型城市绿色低碳转型发展引领市”总体发展定位，以推动高质量发展为主题主线，以改革创新为核心动力，以“3330”转型攻坚行动为重要抓手，以增进民生福祉为根本目的，</w:t>
      </w:r>
      <w:r>
        <w:rPr>
          <w:rFonts w:hint="eastAsia" w:ascii="仿宋_GB2312" w:hAnsi="仿宋_GB2312" w:eastAsia="仿宋_GB2312" w:cs="仿宋_GB2312"/>
          <w:color w:val="auto"/>
          <w:sz w:val="32"/>
          <w:szCs w:val="32"/>
          <w:highlight w:val="none"/>
        </w:rPr>
        <w:t>做实做牢传统产业转型升级、新兴产业增量提升、城市更新和内涵发展、文旅融合、园区提质提效、农业农村高质量发展、国有企业创新转型、民生事业保障改善八大工作支撑，奋力开创台儿庄跨越发展新局面、谱写新时代社会主义现代化强区建设新篇章。</w:t>
      </w:r>
    </w:p>
    <w:p w14:paraId="5AD1B947">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color w:val="auto"/>
          <w:sz w:val="32"/>
          <w:szCs w:val="32"/>
          <w:highlight w:val="none"/>
        </w:rPr>
        <w:t>坚持党的全面领导。</w:t>
      </w:r>
      <w:r>
        <w:rPr>
          <w:rFonts w:hint="eastAsia" w:ascii="仿宋_GB2312" w:hAnsi="仿宋_GB2312" w:eastAsia="仿宋_GB2312" w:cs="仿宋_GB2312"/>
          <w:color w:val="auto"/>
          <w:sz w:val="32"/>
          <w:szCs w:val="32"/>
          <w:highlight w:val="none"/>
        </w:rPr>
        <w:t>坚定维护党中央权威和集中统一领导，充分发挥党总揽全局、协调各方的领导核心作用，坚决贯彻党中央决策部署和省、市委工作要求，确保党的路线方针政策在台儿庄落地生根、开花结果。</w:t>
      </w:r>
    </w:p>
    <w:p w14:paraId="6E189AD8">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color w:val="auto"/>
          <w:sz w:val="32"/>
          <w:szCs w:val="32"/>
          <w:highlight w:val="none"/>
        </w:rPr>
        <w:t>坚持以人民为中心。</w:t>
      </w:r>
      <w:r>
        <w:rPr>
          <w:rFonts w:hint="eastAsia" w:ascii="仿宋_GB2312" w:hAnsi="仿宋_GB2312" w:eastAsia="仿宋_GB2312" w:cs="仿宋_GB2312"/>
          <w:color w:val="auto"/>
          <w:sz w:val="32"/>
          <w:szCs w:val="32"/>
          <w:highlight w:val="none"/>
        </w:rPr>
        <w:t>把增进人民福祉、促进人的全面发展、朝着共同富裕方向稳步前进作为经济社会发展的出发点和落脚点，尊重人民主体地位和首创精神，让现代化建设成果更多更公平惠及全体人民。</w:t>
      </w:r>
    </w:p>
    <w:p w14:paraId="771B82DD">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color w:val="auto"/>
          <w:sz w:val="32"/>
          <w:szCs w:val="32"/>
          <w:highlight w:val="none"/>
        </w:rPr>
        <w:t>坚持高质量发展。</w:t>
      </w:r>
      <w:r>
        <w:rPr>
          <w:rFonts w:hint="eastAsia" w:ascii="仿宋_GB2312" w:hAnsi="仿宋_GB2312" w:eastAsia="仿宋_GB2312" w:cs="仿宋_GB2312"/>
          <w:color w:val="auto"/>
          <w:sz w:val="32"/>
          <w:szCs w:val="32"/>
          <w:highlight w:val="none"/>
        </w:rPr>
        <w:t>以新发展理念引领发展，推动科技创新与产业创新深度融合，因地制宜发展新质生产力，壮大先进制造业集群，加快绿色低碳转型，推动经济持续健康发展和社会全面进步。</w:t>
      </w:r>
    </w:p>
    <w:p w14:paraId="5292B97A">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color w:val="auto"/>
          <w:sz w:val="32"/>
          <w:szCs w:val="32"/>
          <w:highlight w:val="none"/>
        </w:rPr>
        <w:t>坚持全面深化改革、扩大高水平开放。</w:t>
      </w:r>
      <w:r>
        <w:rPr>
          <w:rFonts w:hint="eastAsia" w:ascii="仿宋_GB2312" w:hAnsi="仿宋_GB2312" w:eastAsia="仿宋_GB2312" w:cs="仿宋_GB2312"/>
          <w:color w:val="auto"/>
          <w:sz w:val="32"/>
          <w:szCs w:val="32"/>
          <w:highlight w:val="none"/>
        </w:rPr>
        <w:t>统筹深层次改革和高水平开放，以改革的办法破解发展难题、用开放的手段拓展发展空间，加快释放经济发展潜力，全面激发高质量发展动力活力。</w:t>
      </w:r>
    </w:p>
    <w:p w14:paraId="600336C7">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color w:val="auto"/>
          <w:sz w:val="32"/>
          <w:szCs w:val="32"/>
          <w:highlight w:val="none"/>
        </w:rPr>
        <w:t>坚持有效市场和有为政府相结合。</w:t>
      </w:r>
      <w:r>
        <w:rPr>
          <w:rFonts w:hint="eastAsia" w:ascii="仿宋_GB2312" w:hAnsi="仿宋_GB2312" w:eastAsia="仿宋_GB2312" w:cs="仿宋_GB2312"/>
          <w:color w:val="auto"/>
          <w:sz w:val="32"/>
          <w:szCs w:val="32"/>
          <w:highlight w:val="none"/>
        </w:rPr>
        <w:t>坚持市场化、法治化原则，充分发挥市场在资源配置中的决定性作用，更好发挥政府作用，强化竞争政策基础地位，加快转变政府职能，让需求更好引领优化供给，让供给</w:t>
      </w:r>
      <w:r>
        <w:rPr>
          <w:rFonts w:hint="eastAsia" w:ascii="仿宋_GB2312" w:hAnsi="仿宋_GB2312" w:eastAsia="仿宋_GB2312" w:cs="仿宋_GB2312"/>
          <w:color w:val="auto"/>
          <w:sz w:val="32"/>
          <w:szCs w:val="32"/>
          <w:highlight w:val="none"/>
          <w:lang w:eastAsia="zh-CN"/>
        </w:rPr>
        <w:t>更好地服务</w:t>
      </w:r>
      <w:r>
        <w:rPr>
          <w:rFonts w:hint="eastAsia" w:ascii="仿宋_GB2312" w:hAnsi="仿宋_GB2312" w:eastAsia="仿宋_GB2312" w:cs="仿宋_GB2312"/>
          <w:color w:val="auto"/>
          <w:sz w:val="32"/>
          <w:szCs w:val="32"/>
          <w:highlight w:val="none"/>
        </w:rPr>
        <w:t>扩大需求。</w:t>
      </w:r>
    </w:p>
    <w:p w14:paraId="1C0BE808">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color w:val="auto"/>
          <w:sz w:val="32"/>
          <w:szCs w:val="32"/>
          <w:highlight w:val="none"/>
        </w:rPr>
        <w:t>坚持统筹发展和安全。</w:t>
      </w:r>
      <w:r>
        <w:rPr>
          <w:rFonts w:hint="eastAsia" w:ascii="仿宋_GB2312" w:hAnsi="仿宋_GB2312" w:eastAsia="仿宋_GB2312" w:cs="仿宋_GB2312"/>
          <w:color w:val="auto"/>
          <w:sz w:val="32"/>
          <w:szCs w:val="32"/>
          <w:highlight w:val="none"/>
        </w:rPr>
        <w:t>强化底线思维，统筹抓好产业链供应链安全、生产安全、公共安全、食品安全、粮食安全、生态安全、金融安全等工作，有效防范化解各类风险，坚定不移守住红线底线，以新安全格局保障新发展格局。</w:t>
      </w:r>
    </w:p>
    <w:p w14:paraId="2BE8A25C">
      <w:pPr>
        <w:pStyle w:val="6"/>
        <w:pageBreakBefore w:val="0"/>
        <w:widowControl w:val="0"/>
        <w:kinsoku/>
        <w:wordWrap/>
        <w:overflowPunct/>
        <w:topLinePunct w:val="0"/>
        <w:autoSpaceDE/>
        <w:autoSpaceDN/>
        <w:bidi w:val="0"/>
        <w:spacing w:line="600" w:lineRule="exact"/>
        <w:textAlignment w:val="auto"/>
        <w:rPr>
          <w:rFonts w:hint="eastAsia" w:ascii="楷体_GB2312" w:hAnsi="楷体_GB2312" w:eastAsia="楷体_GB2312" w:cs="楷体_GB2312"/>
          <w:color w:val="auto"/>
          <w:highlight w:val="none"/>
        </w:rPr>
      </w:pPr>
      <w:bookmarkStart w:id="4" w:name="_Toc11328"/>
      <w:r>
        <w:rPr>
          <w:rFonts w:hint="eastAsia" w:ascii="楷体_GB2312" w:hAnsi="楷体_GB2312" w:eastAsia="楷体_GB2312" w:cs="楷体_GB2312"/>
          <w:color w:val="auto"/>
          <w:highlight w:val="none"/>
        </w:rPr>
        <w:t>第四节“十五五”</w:t>
      </w:r>
      <w:r>
        <w:rPr>
          <w:rFonts w:hint="eastAsia" w:ascii="楷体_GB2312" w:hAnsi="楷体_GB2312" w:eastAsia="楷体_GB2312" w:cs="楷体_GB2312"/>
          <w:color w:val="auto"/>
          <w:highlight w:val="none"/>
          <w:lang w:val="en-US" w:eastAsia="zh-CN"/>
        </w:rPr>
        <w:t>时期</w:t>
      </w:r>
      <w:r>
        <w:rPr>
          <w:rFonts w:hint="eastAsia" w:ascii="楷体_GB2312" w:hAnsi="楷体_GB2312" w:eastAsia="楷体_GB2312" w:cs="楷体_GB2312"/>
          <w:color w:val="auto"/>
          <w:highlight w:val="none"/>
        </w:rPr>
        <w:t>经济社会发展战略定位</w:t>
      </w:r>
      <w:bookmarkEnd w:id="4"/>
    </w:p>
    <w:p w14:paraId="035C247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台儿庄区立足于深厚的历史文化与独特的区位优势，围绕大运河文化旅游名城核心区总体发展定位，打造中国新能源电池名城重要板块和省际协同发展桥头堡，系统推动文化、产业、开放与绿色协调发展，全力建设具有区域影响力、产业竞争力和生态吸引力的现代化强区。</w:t>
      </w:r>
    </w:p>
    <w:p w14:paraId="3BF802F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大运河文化旅游名城核心区。</w:t>
      </w:r>
      <w:r>
        <w:rPr>
          <w:rFonts w:hint="eastAsia" w:ascii="仿宋_GB2312" w:hAnsi="仿宋_GB2312" w:eastAsia="仿宋_GB2312" w:cs="仿宋_GB2312"/>
          <w:color w:val="auto"/>
          <w:kern w:val="2"/>
          <w:sz w:val="32"/>
          <w:szCs w:val="32"/>
          <w:highlight w:val="none"/>
          <w:lang w:val="en-US" w:eastAsia="zh-CN" w:bidi="ar-SA"/>
        </w:rPr>
        <w:t>台儿庄区以“江北水乡、运河古城”为底蕴，依托运河文化、大战文化与鲁南民俗文化，系统推进大运河国家文化公园建设，打造“活力运河”展示窗口。通过深化“非遗+旅游”融合，发展运河夜游、红色研学等业态，构建“一城两河一带多点”文旅格局，打响“中华古水城、英雄台儿庄”品牌，围绕“演、赛、展、商、旅”融合路径，提质沉浸式演艺、扩容品牌赛事、升级特色商业，打造主客共享、近悦远来的知名旅游目的地。</w:t>
      </w:r>
    </w:p>
    <w:p w14:paraId="3748505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中国新能源电池名城重要板块。</w:t>
      </w:r>
      <w:r>
        <w:rPr>
          <w:rFonts w:hint="eastAsia" w:ascii="仿宋_GB2312" w:hAnsi="仿宋_GB2312" w:eastAsia="仿宋_GB2312" w:cs="仿宋_GB2312"/>
          <w:color w:val="auto"/>
          <w:kern w:val="2"/>
          <w:sz w:val="32"/>
          <w:szCs w:val="32"/>
          <w:highlight w:val="none"/>
          <w:lang w:val="en-US" w:eastAsia="zh-CN" w:bidi="ar-SA"/>
        </w:rPr>
        <w:t>依托枣庄市国家级锂电产业基地政策优势、台儿庄原有锂电产业基础优势，推动锂电产业链上下游协同创新突破，建成百亿级锂电产业核心区，</w:t>
      </w:r>
      <w:r>
        <w:rPr>
          <w:rFonts w:hint="default" w:ascii="仿宋_GB2312" w:hAnsi="仿宋_GB2312" w:eastAsia="仿宋_GB2312" w:cs="仿宋_GB2312"/>
          <w:color w:val="auto"/>
          <w:sz w:val="32"/>
          <w:szCs w:val="32"/>
          <w:highlight w:val="none"/>
          <w:lang w:val="en-US" w:eastAsia="zh-CN"/>
        </w:rPr>
        <w:t>打造锂电新能源产业制造基地</w:t>
      </w:r>
      <w:r>
        <w:rPr>
          <w:rFonts w:hint="eastAsia" w:ascii="仿宋_GB2312" w:hAnsi="仿宋_GB2312" w:eastAsia="仿宋_GB2312" w:cs="仿宋_GB2312"/>
          <w:color w:val="auto"/>
          <w:kern w:val="2"/>
          <w:sz w:val="32"/>
          <w:szCs w:val="32"/>
          <w:highlight w:val="none"/>
          <w:lang w:val="en-US" w:eastAsia="zh-CN" w:bidi="ar-SA"/>
        </w:rPr>
        <w:t>。聚焦“运河锂谷·绿色动能”战略定位，以创新驱动为核心，以强链补链延链为主线，以重大项目、平台、改革、政策为支撑，构建“基础材料–高端电芯–系统集成–回收利用”全链条锂电新能源产业集群。同步发展新型储能、光伏及风电产业，推动“人工智能+储能”应用，实施集中式风电、千乡万村驭风行动等项目，加强“源网荷储云”一体化协同，致力打造区域性新能源综合发展高地和清洁低碳的现代能源体系。</w:t>
      </w:r>
    </w:p>
    <w:p w14:paraId="2490C2E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省际协同发展桥头堡。</w:t>
      </w:r>
      <w:r>
        <w:rPr>
          <w:rFonts w:hint="eastAsia" w:ascii="仿宋_GB2312" w:hAnsi="仿宋_GB2312" w:eastAsia="仿宋_GB2312" w:cs="仿宋_GB2312"/>
          <w:color w:val="auto"/>
          <w:kern w:val="2"/>
          <w:sz w:val="32"/>
          <w:szCs w:val="32"/>
          <w:highlight w:val="none"/>
          <w:lang w:val="en-US" w:eastAsia="zh-CN" w:bidi="ar-SA"/>
        </w:rPr>
        <w:t>台儿庄区依托鲁苏交界区位，加快推进济枣高铁南延、台睢高速等工程，完善多式联运体系，建设区域物流枢纽和双向开放门户。深化与徐州等地“跨省通办”，拓展跨境电商与“一带一路”市场。聚焦“锂机材纺纸”五大主导产业，推动锂电和新能源、机械和高端装备、绿色建材、纺织服装、生态造纸协同发展，培育低空、临港经济新增长点，打造鲁南地区产业转型、创新驱动、区域协同高地。携手江苏毗邻地区推进大运河生态廊道建设、污染联防联治与碳达峰行动，统一环境监管，打造“河清岸绿、城景交融、区域共保、民生共享”的跨省协同样板。</w:t>
      </w:r>
    </w:p>
    <w:p w14:paraId="15D0FBB1">
      <w:pPr>
        <w:pStyle w:val="6"/>
        <w:pageBreakBefore w:val="0"/>
        <w:widowControl w:val="0"/>
        <w:kinsoku/>
        <w:wordWrap/>
        <w:overflowPunct/>
        <w:topLinePunct w:val="0"/>
        <w:autoSpaceDE/>
        <w:autoSpaceDN/>
        <w:bidi w:val="0"/>
        <w:spacing w:line="600" w:lineRule="exact"/>
        <w:textAlignment w:val="auto"/>
        <w:rPr>
          <w:color w:val="auto"/>
          <w:highlight w:val="none"/>
        </w:rPr>
      </w:pPr>
      <w:bookmarkStart w:id="5" w:name="_Toc7743"/>
      <w:r>
        <w:rPr>
          <w:rFonts w:hint="eastAsia"/>
          <w:color w:val="auto"/>
          <w:highlight w:val="none"/>
          <w:lang w:val="en-US" w:eastAsia="zh-CN"/>
        </w:rPr>
        <w:t>第五节</w:t>
      </w:r>
      <w:r>
        <w:rPr>
          <w:rFonts w:hint="eastAsia"/>
          <w:color w:val="auto"/>
          <w:highlight w:val="none"/>
        </w:rPr>
        <w:t>“十五五”</w:t>
      </w:r>
      <w:r>
        <w:rPr>
          <w:rFonts w:hint="eastAsia"/>
          <w:color w:val="auto"/>
          <w:highlight w:val="none"/>
          <w:lang w:val="en-US" w:eastAsia="zh-CN"/>
        </w:rPr>
        <w:t>时期</w:t>
      </w:r>
      <w:r>
        <w:rPr>
          <w:rFonts w:hint="eastAsia"/>
          <w:color w:val="auto"/>
          <w:highlight w:val="none"/>
        </w:rPr>
        <w:t>经济社会发展的主要目标</w:t>
      </w:r>
      <w:bookmarkEnd w:id="5"/>
    </w:p>
    <w:p w14:paraId="0DED4F4B">
      <w:pPr>
        <w:pStyle w:val="12"/>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Times New Roman" w:eastAsia="仿宋_GB2312"/>
          <w:b/>
          <w:bCs/>
          <w:color w:val="auto"/>
          <w:sz w:val="32"/>
          <w:szCs w:val="32"/>
          <w:highlight w:val="none"/>
        </w:rPr>
      </w:pPr>
      <w:r>
        <w:rPr>
          <w:rFonts w:hint="eastAsia" w:ascii="仿宋_GB2312" w:hAnsi="仿宋_GB2312" w:eastAsia="仿宋_GB2312" w:cs="仿宋_GB2312"/>
          <w:color w:val="auto"/>
          <w:spacing w:val="0"/>
          <w:sz w:val="32"/>
          <w:szCs w:val="32"/>
          <w:highlight w:val="none"/>
          <w:u w:val="none" w:color="auto"/>
          <w:lang w:val="en-US" w:eastAsia="zh-CN"/>
        </w:rPr>
        <w:t>到2030年，“十五五”规划目标任务全面完成，高质量发展水平显著提升，现代化产业体系基本建成，城乡融合发展格局全面形成，生态环境质量持续优化，民生保障能力大幅增强，治理体系和治理能力现代化水平明显提高，成为淮海地区具有较强竞争力和影响力的特色产业高地、生态宜居新城、文旅融合样板。</w:t>
      </w:r>
    </w:p>
    <w:p w14:paraId="22FCE703">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Times New Roman" w:eastAsia="仿宋_GB2312"/>
          <w:b/>
          <w:bCs/>
          <w:color w:val="auto"/>
          <w:sz w:val="32"/>
          <w:szCs w:val="32"/>
          <w:highlight w:val="none"/>
        </w:rPr>
      </w:pPr>
      <w:r>
        <w:rPr>
          <w:rFonts w:hint="eastAsia" w:ascii="仿宋_GB2312" w:hAnsi="Times New Roman" w:eastAsia="仿宋_GB2312"/>
          <w:b/>
          <w:bCs/>
          <w:color w:val="auto"/>
          <w:sz w:val="32"/>
          <w:szCs w:val="32"/>
          <w:highlight w:val="none"/>
        </w:rPr>
        <w:t>——综合实力实现新跃升。</w:t>
      </w:r>
      <w:r>
        <w:rPr>
          <w:rFonts w:hint="eastAsia" w:ascii="仿宋_GB2312" w:hAnsi="Times New Roman" w:eastAsia="仿宋_GB2312"/>
          <w:color w:val="auto"/>
          <w:sz w:val="32"/>
          <w:szCs w:val="32"/>
          <w:highlight w:val="none"/>
        </w:rPr>
        <w:t>经济增长保持在合理区间，居民消费率明显提高，内需拉动经济增长主动力作用持续增强，经济增长潜力得到充分释放。地区生产总值年均增长</w:t>
      </w:r>
      <w:r>
        <w:rPr>
          <w:rFonts w:hint="eastAsia" w:ascii="仿宋_GB2312" w:hAnsi="Times New Roman" w:eastAsia="仿宋_GB2312"/>
          <w:color w:val="auto"/>
          <w:sz w:val="32"/>
          <w:szCs w:val="32"/>
          <w:highlight w:val="none"/>
          <w:lang w:val="en-US" w:eastAsia="zh-CN"/>
        </w:rPr>
        <w:t>6</w:t>
      </w:r>
      <w:r>
        <w:rPr>
          <w:rFonts w:hint="eastAsia" w:ascii="仿宋_GB2312" w:hAnsi="Times New Roman" w:eastAsia="仿宋_GB2312"/>
          <w:color w:val="auto"/>
          <w:sz w:val="32"/>
          <w:szCs w:val="32"/>
          <w:highlight w:val="none"/>
        </w:rPr>
        <w:t>%左右、总量突破</w:t>
      </w:r>
      <w:r>
        <w:rPr>
          <w:rFonts w:hint="eastAsia" w:ascii="仿宋_GB2312" w:hAnsi="Times New Roman" w:eastAsia="仿宋_GB2312"/>
          <w:color w:val="auto"/>
          <w:sz w:val="32"/>
          <w:szCs w:val="32"/>
          <w:highlight w:val="none"/>
          <w:lang w:val="en-US" w:eastAsia="zh-CN"/>
        </w:rPr>
        <w:t>240</w:t>
      </w:r>
      <w:r>
        <w:rPr>
          <w:rFonts w:hint="eastAsia" w:ascii="仿宋_GB2312" w:hAnsi="Times New Roman" w:eastAsia="仿宋_GB2312"/>
          <w:color w:val="auto"/>
          <w:sz w:val="32"/>
          <w:szCs w:val="32"/>
          <w:highlight w:val="none"/>
        </w:rPr>
        <w:t>亿元，一般公共预算收入力争达到</w:t>
      </w:r>
      <w:r>
        <w:rPr>
          <w:rFonts w:hint="eastAsia" w:ascii="仿宋_GB2312" w:hAnsi="Times New Roman" w:eastAsia="仿宋_GB2312"/>
          <w:color w:val="auto"/>
          <w:sz w:val="32"/>
          <w:szCs w:val="32"/>
          <w:highlight w:val="none"/>
          <w:lang w:val="en-US" w:eastAsia="zh-CN"/>
        </w:rPr>
        <w:t>15</w:t>
      </w:r>
      <w:r>
        <w:rPr>
          <w:rFonts w:hint="eastAsia" w:ascii="仿宋_GB2312" w:hAnsi="Times New Roman" w:eastAsia="仿宋_GB2312"/>
          <w:color w:val="auto"/>
          <w:sz w:val="32"/>
          <w:szCs w:val="32"/>
          <w:highlight w:val="none"/>
        </w:rPr>
        <w:t>亿元，人均GDP明显提高。</w:t>
      </w:r>
    </w:p>
    <w:p w14:paraId="0DB52235">
      <w:pPr>
        <w:pStyle w:val="12"/>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ascii="仿宋_GB2312" w:eastAsia="仿宋_GB2312"/>
          <w:color w:val="auto"/>
          <w:sz w:val="32"/>
          <w:szCs w:val="32"/>
          <w:highlight w:val="none"/>
        </w:rPr>
      </w:pPr>
      <w:r>
        <w:rPr>
          <w:rFonts w:hint="eastAsia" w:ascii="仿宋_GB2312" w:hAnsi="Times New Roman" w:eastAsia="仿宋_GB2312"/>
          <w:b/>
          <w:bCs/>
          <w:color w:val="auto"/>
          <w:sz w:val="32"/>
          <w:szCs w:val="32"/>
          <w:highlight w:val="none"/>
        </w:rPr>
        <w:t>——新质生产力加快成长。</w:t>
      </w:r>
      <w:r>
        <w:rPr>
          <w:rFonts w:hint="eastAsia" w:ascii="仿宋_GB2312" w:hAnsi="Times New Roman" w:eastAsia="仿宋_GB2312"/>
          <w:color w:val="auto"/>
          <w:sz w:val="32"/>
          <w:szCs w:val="32"/>
          <w:highlight w:val="none"/>
        </w:rPr>
        <w:t>产业智能化、绿色化、融合化水平明显提升，以先进制造业为骨干的现代化产业体系初步建立，人工智能赋能高质量发展。规模以上工业营收年均增长</w:t>
      </w:r>
      <w:r>
        <w:rPr>
          <w:rFonts w:hint="eastAsia" w:ascii="仿宋_GB2312" w:hAnsi="Times New Roman" w:eastAsia="仿宋_GB2312"/>
          <w:color w:val="auto"/>
          <w:sz w:val="32"/>
          <w:szCs w:val="32"/>
          <w:highlight w:val="none"/>
          <w:lang w:val="en-US" w:eastAsia="zh-CN"/>
        </w:rPr>
        <w:t>6</w:t>
      </w:r>
      <w:r>
        <w:rPr>
          <w:rFonts w:hint="eastAsia" w:ascii="仿宋_GB2312" w:hAnsi="Times New Roman" w:eastAsia="仿宋_GB2312"/>
          <w:color w:val="auto"/>
          <w:sz w:val="32"/>
          <w:szCs w:val="32"/>
          <w:highlight w:val="none"/>
        </w:rPr>
        <w:t>%左右，全社会研发经费投入增长</w:t>
      </w:r>
      <w:r>
        <w:rPr>
          <w:rFonts w:hint="eastAsia" w:ascii="仿宋_GB2312" w:hAnsi="Times New Roman" w:eastAsia="仿宋_GB2312"/>
          <w:color w:val="auto"/>
          <w:sz w:val="32"/>
          <w:szCs w:val="32"/>
          <w:highlight w:val="none"/>
          <w:lang w:val="en-US" w:eastAsia="zh-CN"/>
        </w:rPr>
        <w:t>达到全市平均水平</w:t>
      </w:r>
      <w:r>
        <w:rPr>
          <w:rFonts w:hint="eastAsia" w:ascii="仿宋_GB2312" w:eastAsia="仿宋_GB2312"/>
          <w:color w:val="auto"/>
          <w:sz w:val="32"/>
          <w:szCs w:val="32"/>
          <w:highlight w:val="none"/>
        </w:rPr>
        <w:t>，新动能成为引领经济发展主引擎。</w:t>
      </w:r>
    </w:p>
    <w:p w14:paraId="67643E91">
      <w:pPr>
        <w:pStyle w:val="12"/>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ascii="仿宋_GB2312" w:hAnsi="Times New Roman" w:eastAsia="仿宋_GB2312"/>
          <w:color w:val="auto"/>
          <w:sz w:val="32"/>
          <w:szCs w:val="32"/>
          <w:highlight w:val="none"/>
        </w:rPr>
      </w:pPr>
      <w:r>
        <w:rPr>
          <w:rFonts w:hint="eastAsia" w:ascii="仿宋_GB2312" w:hAnsi="Times New Roman" w:eastAsia="仿宋_GB2312"/>
          <w:b/>
          <w:bCs/>
          <w:color w:val="auto"/>
          <w:sz w:val="32"/>
          <w:szCs w:val="32"/>
          <w:highlight w:val="none"/>
        </w:rPr>
        <w:t>——文化品牌更加响亮。</w:t>
      </w:r>
      <w:r>
        <w:rPr>
          <w:rFonts w:hint="eastAsia" w:ascii="仿宋_GB2312" w:eastAsia="仿宋_GB2312"/>
          <w:color w:val="auto"/>
          <w:sz w:val="32"/>
          <w:szCs w:val="32"/>
          <w:highlight w:val="none"/>
        </w:rPr>
        <w:t>文化自信更加坚定，运河文化、红色文化保护传承更加有力，社会主义核心价值观广泛践行，社会文明程度明显提升，文化创新创造活力不断激发，</w:t>
      </w:r>
      <w:r>
        <w:rPr>
          <w:rFonts w:hint="eastAsia" w:ascii="仿宋_GB2312" w:eastAsia="仿宋_GB2312"/>
          <w:color w:val="auto"/>
          <w:sz w:val="32"/>
          <w:szCs w:val="32"/>
          <w:highlight w:val="none"/>
          <w:lang w:eastAsia="zh-CN"/>
        </w:rPr>
        <w:t>文化和旅游深度融合发展</w:t>
      </w:r>
      <w:r>
        <w:rPr>
          <w:rFonts w:hint="eastAsia" w:ascii="仿宋_GB2312" w:eastAsia="仿宋_GB2312"/>
          <w:color w:val="auto"/>
          <w:sz w:val="32"/>
          <w:szCs w:val="32"/>
          <w:highlight w:val="none"/>
        </w:rPr>
        <w:t>，</w:t>
      </w:r>
      <w:r>
        <w:rPr>
          <w:rFonts w:hint="eastAsia" w:ascii="仿宋_GB2312" w:hAnsi="Times New Roman" w:eastAsia="仿宋_GB2312"/>
          <w:color w:val="auto"/>
          <w:sz w:val="32"/>
          <w:szCs w:val="32"/>
          <w:highlight w:val="none"/>
        </w:rPr>
        <w:t>“中华古水城</w:t>
      </w:r>
      <w:r>
        <w:rPr>
          <w:rFonts w:hint="eastAsia" w:ascii="仿宋_GB2312" w:hAnsi="Times New Roman" w:eastAsia="仿宋_GB2312"/>
          <w:color w:val="auto"/>
          <w:sz w:val="32"/>
          <w:szCs w:val="32"/>
          <w:highlight w:val="none"/>
          <w:lang w:eastAsia="zh-CN"/>
        </w:rPr>
        <w:t>、</w:t>
      </w:r>
      <w:r>
        <w:rPr>
          <w:rFonts w:hint="eastAsia" w:ascii="仿宋_GB2312" w:hAnsi="Times New Roman" w:eastAsia="仿宋_GB2312"/>
          <w:color w:val="auto"/>
          <w:sz w:val="32"/>
          <w:szCs w:val="32"/>
          <w:highlight w:val="none"/>
        </w:rPr>
        <w:t>英雄台儿庄”品牌影响力显著增强。</w:t>
      </w:r>
    </w:p>
    <w:p w14:paraId="586A47C6">
      <w:pPr>
        <w:pStyle w:val="12"/>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Times New Roman" w:eastAsia="仿宋_GB2312"/>
          <w:b/>
          <w:bCs/>
          <w:color w:val="auto"/>
          <w:sz w:val="32"/>
          <w:szCs w:val="32"/>
          <w:highlight w:val="none"/>
        </w:rPr>
        <w:t>——</w:t>
      </w:r>
      <w:r>
        <w:rPr>
          <w:rFonts w:hint="eastAsia" w:ascii="仿宋_GB2312" w:hAnsi="仿宋_GB2312" w:eastAsia="仿宋_GB2312" w:cs="仿宋_GB2312"/>
          <w:b/>
          <w:bCs/>
          <w:color w:val="auto"/>
          <w:sz w:val="32"/>
          <w:szCs w:val="32"/>
          <w:highlight w:val="none"/>
        </w:rPr>
        <w:t>民生保障更有温度。</w:t>
      </w:r>
      <w:r>
        <w:rPr>
          <w:rFonts w:hint="eastAsia" w:ascii="仿宋_GB2312" w:hAnsi="仿宋_GB2312" w:eastAsia="仿宋_GB2312" w:cs="仿宋_GB2312"/>
          <w:color w:val="auto"/>
          <w:sz w:val="32"/>
          <w:szCs w:val="32"/>
          <w:highlight w:val="none"/>
        </w:rPr>
        <w:t>高质量充分就业取得新进展，居民收入增长和经济增长基本同步，社会保障制度更加优化更可持续，基本公共服务均等化水平进一步提高，城乡基层治理体系更加完善，人民群众获得感、幸福感、安全感明显提升。</w:t>
      </w:r>
    </w:p>
    <w:p w14:paraId="78DAC083">
      <w:pPr>
        <w:pStyle w:val="12"/>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hint="eastAsia" w:ascii="仿宋_GB2312" w:hAnsi="Times New Roman" w:eastAsia="仿宋_GB2312"/>
          <w:b/>
          <w:bCs/>
          <w:color w:val="auto"/>
          <w:sz w:val="32"/>
          <w:szCs w:val="32"/>
          <w:highlight w:val="none"/>
        </w:rPr>
      </w:pPr>
      <w:r>
        <w:rPr>
          <w:rFonts w:hint="eastAsia" w:ascii="仿宋_GB2312" w:hAnsi="Times New Roman" w:eastAsia="仿宋_GB2312"/>
          <w:b/>
          <w:bCs/>
          <w:color w:val="auto"/>
          <w:sz w:val="32"/>
          <w:szCs w:val="32"/>
          <w:highlight w:val="none"/>
        </w:rPr>
        <w:t>——城乡品质更具魅力。</w:t>
      </w:r>
      <w:r>
        <w:rPr>
          <w:rFonts w:hint="eastAsia" w:ascii="仿宋_GB2312" w:hAnsi="仿宋_GB2312" w:eastAsia="仿宋_GB2312" w:cs="仿宋_GB2312"/>
          <w:color w:val="auto"/>
          <w:sz w:val="32"/>
          <w:szCs w:val="32"/>
          <w:highlight w:val="none"/>
        </w:rPr>
        <w:t>城乡发展实现“颜值”“内涵”双提升，运河古城美丽更加彰显，现代化人民城市建设取得重要进展，以人为本的新型城镇化战略实现重要突破，在全面推进乡村振兴建设中走在前列。常住人口城镇化率达到</w:t>
      </w:r>
      <w:r>
        <w:rPr>
          <w:rFonts w:hint="eastAsia" w:ascii="仿宋_GB2312" w:hAnsi="仿宋_GB2312" w:eastAsia="仿宋_GB2312" w:cs="仿宋_GB2312"/>
          <w:color w:val="auto"/>
          <w:sz w:val="32"/>
          <w:szCs w:val="32"/>
          <w:highlight w:val="none"/>
          <w:lang w:val="en-US" w:eastAsia="zh-CN"/>
        </w:rPr>
        <w:t>55</w:t>
      </w:r>
      <w:r>
        <w:rPr>
          <w:rFonts w:hint="eastAsia" w:ascii="仿宋_GB2312" w:hAnsi="仿宋_GB2312" w:eastAsia="仿宋_GB2312" w:cs="仿宋_GB2312"/>
          <w:color w:val="auto"/>
          <w:sz w:val="32"/>
          <w:szCs w:val="32"/>
          <w:highlight w:val="none"/>
        </w:rPr>
        <w:t>%左右。</w:t>
      </w:r>
    </w:p>
    <w:p w14:paraId="1E0C4CF5">
      <w:pPr>
        <w:pStyle w:val="12"/>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——绿色低碳全面发力。</w:t>
      </w:r>
      <w:r>
        <w:rPr>
          <w:rFonts w:hint="eastAsia" w:ascii="仿宋_GB2312" w:hAnsi="Times New Roman" w:eastAsia="仿宋_GB2312"/>
          <w:color w:val="auto"/>
          <w:sz w:val="32"/>
          <w:szCs w:val="32"/>
          <w:highlight w:val="none"/>
        </w:rPr>
        <w:t>重点领域绿色转型取得积极进展，绿色生产方式和生活方式基本形成，生态环境质量、清洁能源发展、资源利用效率进一步提升。单位GDP能耗下降、</w:t>
      </w:r>
      <w:r>
        <w:rPr>
          <w:rFonts w:hint="eastAsia" w:ascii="仿宋_GB2312" w:hAnsi="仿宋_GB2312" w:eastAsia="仿宋_GB2312" w:cs="仿宋_GB2312"/>
          <w:color w:val="auto"/>
          <w:sz w:val="32"/>
          <w:szCs w:val="32"/>
          <w:highlight w:val="none"/>
        </w:rPr>
        <w:t>非化石能源消费占比等完成上级下达指标。</w:t>
      </w:r>
    </w:p>
    <w:p w14:paraId="0CE1010F">
      <w:pPr>
        <w:pStyle w:val="12"/>
        <w:keepNext w:val="0"/>
        <w:keepLines w:val="0"/>
        <w:pageBreakBefore w:val="0"/>
        <w:widowControl w:val="0"/>
        <w:kinsoku/>
        <w:wordWrap/>
        <w:overflowPunct/>
        <w:topLinePunct w:val="0"/>
        <w:autoSpaceDE/>
        <w:autoSpaceDN/>
        <w:bidi w:val="0"/>
        <w:adjustRightInd/>
        <w:snapToGrid/>
        <w:spacing w:before="313" w:beforeLines="100" w:after="157" w:afterLines="50"/>
        <w:jc w:val="center"/>
        <w:textAlignment w:val="auto"/>
        <w:rPr>
          <w:rFonts w:hint="eastAsia" w:ascii="黑体" w:hAnsi="黑体" w:eastAsia="黑体" w:cs="仿宋_GB2312"/>
          <w:color w:val="auto"/>
          <w:sz w:val="28"/>
          <w:szCs w:val="28"/>
          <w:highlight w:val="none"/>
        </w:rPr>
      </w:pPr>
      <w:r>
        <w:rPr>
          <w:rFonts w:hint="eastAsia" w:ascii="黑体" w:hAnsi="黑体" w:eastAsia="黑体" w:cs="仿宋_GB2312"/>
          <w:color w:val="auto"/>
          <w:sz w:val="28"/>
          <w:szCs w:val="28"/>
          <w:highlight w:val="none"/>
        </w:rPr>
        <w:t>表：“十五五”时期经济社会发展主要目标</w:t>
      </w:r>
    </w:p>
    <w:tbl>
      <w:tblPr>
        <w:tblStyle w:val="21"/>
        <w:tblW w:w="51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909"/>
        <w:gridCol w:w="1530"/>
        <w:gridCol w:w="1487"/>
        <w:gridCol w:w="1096"/>
        <w:gridCol w:w="1580"/>
        <w:gridCol w:w="909"/>
      </w:tblGrid>
      <w:tr w14:paraId="79C94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392" w:type="pct"/>
            <w:noWrap w:val="0"/>
            <w:vAlign w:val="center"/>
          </w:tcPr>
          <w:p w14:paraId="78CF4B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b/>
                <w:bCs/>
                <w:color w:val="auto"/>
                <w:spacing w:val="0"/>
                <w:kern w:val="0"/>
                <w:sz w:val="21"/>
                <w:szCs w:val="21"/>
                <w:highlight w:val="none"/>
                <w:u w:val="none"/>
                <w:vertAlign w:val="baseline"/>
                <w:lang w:eastAsia="zh-CN"/>
              </w:rPr>
            </w:pPr>
            <w:r>
              <w:rPr>
                <w:rFonts w:hint="default" w:ascii="Times New Roman" w:hAnsi="Times New Roman" w:eastAsia="仿宋_GB2312" w:cs="Times New Roman"/>
                <w:b/>
                <w:bCs/>
                <w:color w:val="auto"/>
                <w:spacing w:val="0"/>
                <w:kern w:val="0"/>
                <w:sz w:val="21"/>
                <w:szCs w:val="21"/>
                <w:highlight w:val="none"/>
                <w:u w:val="none"/>
                <w:vertAlign w:val="baseline"/>
                <w:lang w:eastAsia="zh-CN"/>
              </w:rPr>
              <w:t>类别</w:t>
            </w:r>
          </w:p>
        </w:tc>
        <w:tc>
          <w:tcPr>
            <w:tcW w:w="1861" w:type="pct"/>
            <w:gridSpan w:val="2"/>
            <w:noWrap w:val="0"/>
            <w:vAlign w:val="center"/>
          </w:tcPr>
          <w:p w14:paraId="2EDF254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b/>
                <w:bCs/>
                <w:color w:val="auto"/>
                <w:spacing w:val="0"/>
                <w:kern w:val="0"/>
                <w:sz w:val="21"/>
                <w:szCs w:val="21"/>
                <w:highlight w:val="none"/>
                <w:u w:val="none"/>
                <w:vertAlign w:val="baseline"/>
                <w:lang w:eastAsia="zh-CN"/>
              </w:rPr>
            </w:pPr>
            <w:r>
              <w:rPr>
                <w:rFonts w:hint="default" w:ascii="Times New Roman" w:hAnsi="Times New Roman" w:eastAsia="仿宋_GB2312" w:cs="Times New Roman"/>
                <w:b/>
                <w:bCs/>
                <w:color w:val="auto"/>
                <w:spacing w:val="0"/>
                <w:kern w:val="0"/>
                <w:sz w:val="21"/>
                <w:szCs w:val="21"/>
                <w:highlight w:val="none"/>
                <w:u w:val="none"/>
                <w:vertAlign w:val="baseline"/>
                <w:lang w:eastAsia="zh-CN"/>
              </w:rPr>
              <w:t>指标</w:t>
            </w:r>
          </w:p>
        </w:tc>
        <w:tc>
          <w:tcPr>
            <w:tcW w:w="805" w:type="pct"/>
            <w:noWrap w:val="0"/>
            <w:vAlign w:val="center"/>
          </w:tcPr>
          <w:p w14:paraId="65E9F78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b/>
                <w:bCs/>
                <w:color w:val="auto"/>
                <w:spacing w:val="0"/>
                <w:kern w:val="0"/>
                <w:sz w:val="21"/>
                <w:szCs w:val="21"/>
                <w:highlight w:val="none"/>
                <w:u w:val="none"/>
                <w:vertAlign w:val="baseline"/>
                <w:lang w:val="en-US" w:eastAsia="zh-CN"/>
              </w:rPr>
            </w:pPr>
            <w:r>
              <w:rPr>
                <w:rFonts w:hint="default" w:ascii="Times New Roman" w:hAnsi="Times New Roman" w:eastAsia="仿宋_GB2312" w:cs="Times New Roman"/>
                <w:b/>
                <w:bCs/>
                <w:color w:val="auto"/>
                <w:spacing w:val="0"/>
                <w:kern w:val="0"/>
                <w:sz w:val="21"/>
                <w:szCs w:val="21"/>
                <w:highlight w:val="none"/>
                <w:u w:val="none"/>
                <w:vertAlign w:val="baseline"/>
                <w:lang w:val="en-US" w:eastAsia="zh-CN"/>
              </w:rPr>
              <w:t>2025年</w:t>
            </w:r>
          </w:p>
        </w:tc>
        <w:tc>
          <w:tcPr>
            <w:tcW w:w="593" w:type="pct"/>
            <w:noWrap w:val="0"/>
            <w:vAlign w:val="center"/>
          </w:tcPr>
          <w:p w14:paraId="7677BB2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b/>
                <w:bCs/>
                <w:color w:val="auto"/>
                <w:spacing w:val="0"/>
                <w:kern w:val="0"/>
                <w:sz w:val="21"/>
                <w:szCs w:val="21"/>
                <w:highlight w:val="none"/>
                <w:u w:val="none"/>
                <w:vertAlign w:val="baseline"/>
                <w:lang w:val="en-US" w:eastAsia="zh-CN"/>
              </w:rPr>
            </w:pPr>
            <w:r>
              <w:rPr>
                <w:rFonts w:hint="default" w:ascii="Times New Roman" w:hAnsi="Times New Roman" w:eastAsia="仿宋_GB2312" w:cs="Times New Roman"/>
                <w:b/>
                <w:bCs/>
                <w:color w:val="auto"/>
                <w:spacing w:val="0"/>
                <w:kern w:val="0"/>
                <w:sz w:val="21"/>
                <w:szCs w:val="21"/>
                <w:highlight w:val="none"/>
                <w:u w:val="none"/>
                <w:vertAlign w:val="baseline"/>
                <w:lang w:val="en-US" w:eastAsia="zh-CN"/>
              </w:rPr>
              <w:t>2030年</w:t>
            </w:r>
          </w:p>
        </w:tc>
        <w:tc>
          <w:tcPr>
            <w:tcW w:w="855" w:type="pct"/>
            <w:noWrap w:val="0"/>
            <w:vAlign w:val="center"/>
          </w:tcPr>
          <w:p w14:paraId="5279595F">
            <w:pPr>
              <w:pStyle w:val="5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仿宋_GB2312" w:cs="Times New Roman"/>
                <w:b/>
                <w:bCs/>
                <w:color w:val="auto"/>
                <w:spacing w:val="0"/>
                <w:w w:val="100"/>
                <w:kern w:val="0"/>
                <w:position w:val="0"/>
                <w:sz w:val="21"/>
                <w:szCs w:val="21"/>
                <w:highlight w:val="none"/>
                <w:u w:val="none"/>
              </w:rPr>
            </w:pPr>
            <w:r>
              <w:rPr>
                <w:rFonts w:hint="default" w:ascii="Times New Roman" w:hAnsi="Times New Roman" w:eastAsia="仿宋_GB2312" w:cs="Times New Roman"/>
                <w:b/>
                <w:bCs/>
                <w:color w:val="auto"/>
                <w:spacing w:val="0"/>
                <w:w w:val="100"/>
                <w:kern w:val="0"/>
                <w:position w:val="0"/>
                <w:sz w:val="21"/>
                <w:szCs w:val="21"/>
                <w:highlight w:val="none"/>
                <w:u w:val="none"/>
                <w:lang w:eastAsia="zh-CN"/>
              </w:rPr>
              <w:t>“十五五”</w:t>
            </w:r>
            <w:r>
              <w:rPr>
                <w:rFonts w:hint="default" w:ascii="Times New Roman" w:hAnsi="Times New Roman" w:eastAsia="仿宋_GB2312" w:cs="Times New Roman"/>
                <w:b/>
                <w:bCs/>
                <w:color w:val="auto"/>
                <w:spacing w:val="0"/>
                <w:w w:val="100"/>
                <w:kern w:val="0"/>
                <w:position w:val="0"/>
                <w:sz w:val="21"/>
                <w:szCs w:val="21"/>
                <w:highlight w:val="none"/>
                <w:u w:val="none"/>
              </w:rPr>
              <w:t>年均</w:t>
            </w:r>
          </w:p>
          <w:p w14:paraId="7AE60098">
            <w:pPr>
              <w:pStyle w:val="5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仿宋_GB2312" w:cs="Times New Roman"/>
                <w:b/>
                <w:bCs/>
                <w:color w:val="auto"/>
                <w:spacing w:val="0"/>
                <w:kern w:val="0"/>
                <w:sz w:val="21"/>
                <w:szCs w:val="21"/>
                <w:highlight w:val="none"/>
                <w:u w:val="none"/>
                <w:vertAlign w:val="baseline"/>
                <w:lang w:eastAsia="zh-CN"/>
              </w:rPr>
            </w:pPr>
            <w:r>
              <w:rPr>
                <w:rFonts w:hint="default" w:ascii="Times New Roman" w:hAnsi="Times New Roman" w:eastAsia="仿宋_GB2312" w:cs="Times New Roman"/>
                <w:b/>
                <w:bCs/>
                <w:color w:val="auto"/>
                <w:spacing w:val="0"/>
                <w:w w:val="100"/>
                <w:kern w:val="0"/>
                <w:position w:val="0"/>
                <w:sz w:val="21"/>
                <w:szCs w:val="21"/>
                <w:highlight w:val="none"/>
                <w:u w:val="none"/>
              </w:rPr>
              <w:t>增速/</w:t>
            </w:r>
            <w:r>
              <w:rPr>
                <w:rFonts w:hint="default" w:ascii="Times New Roman" w:hAnsi="Times New Roman" w:eastAsia="仿宋_GB2312" w:cs="Times New Roman"/>
                <w:b/>
                <w:bCs/>
                <w:color w:val="auto"/>
                <w:spacing w:val="0"/>
                <w:w w:val="100"/>
                <w:kern w:val="0"/>
                <w:position w:val="0"/>
                <w:sz w:val="21"/>
                <w:szCs w:val="21"/>
                <w:highlight w:val="none"/>
                <w:u w:val="none"/>
                <w:lang w:val="en-US" w:eastAsia="zh-CN"/>
              </w:rPr>
              <w:t>[</w:t>
            </w:r>
            <w:r>
              <w:rPr>
                <w:rFonts w:hint="default" w:ascii="Times New Roman" w:hAnsi="Times New Roman" w:eastAsia="仿宋_GB2312" w:cs="Times New Roman"/>
                <w:b/>
                <w:bCs/>
                <w:color w:val="auto"/>
                <w:spacing w:val="0"/>
                <w:w w:val="100"/>
                <w:kern w:val="0"/>
                <w:position w:val="0"/>
                <w:sz w:val="21"/>
                <w:szCs w:val="21"/>
                <w:highlight w:val="none"/>
                <w:u w:val="none"/>
              </w:rPr>
              <w:t>累计</w:t>
            </w:r>
            <w:r>
              <w:rPr>
                <w:rFonts w:hint="default" w:ascii="Times New Roman" w:hAnsi="Times New Roman" w:eastAsia="仿宋_GB2312" w:cs="Times New Roman"/>
                <w:b/>
                <w:bCs/>
                <w:color w:val="auto"/>
                <w:spacing w:val="0"/>
                <w:w w:val="100"/>
                <w:kern w:val="0"/>
                <w:position w:val="0"/>
                <w:sz w:val="21"/>
                <w:szCs w:val="21"/>
                <w:highlight w:val="none"/>
                <w:u w:val="none"/>
                <w:lang w:val="en-US" w:eastAsia="zh-CN"/>
              </w:rPr>
              <w:t>]</w:t>
            </w:r>
          </w:p>
        </w:tc>
        <w:tc>
          <w:tcPr>
            <w:tcW w:w="492" w:type="pct"/>
            <w:noWrap w:val="0"/>
            <w:vAlign w:val="center"/>
          </w:tcPr>
          <w:p w14:paraId="40796E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b/>
                <w:bCs/>
                <w:color w:val="auto"/>
                <w:spacing w:val="0"/>
                <w:kern w:val="0"/>
                <w:sz w:val="21"/>
                <w:szCs w:val="21"/>
                <w:highlight w:val="none"/>
                <w:u w:val="none"/>
                <w:vertAlign w:val="baseline"/>
                <w:lang w:eastAsia="zh-CN"/>
              </w:rPr>
            </w:pPr>
            <w:r>
              <w:rPr>
                <w:rFonts w:hint="default" w:ascii="Times New Roman" w:hAnsi="Times New Roman" w:eastAsia="仿宋_GB2312" w:cs="Times New Roman"/>
                <w:b/>
                <w:bCs/>
                <w:color w:val="auto"/>
                <w:spacing w:val="0"/>
                <w:kern w:val="0"/>
                <w:sz w:val="21"/>
                <w:szCs w:val="21"/>
                <w:highlight w:val="none"/>
                <w:u w:val="none"/>
                <w:vertAlign w:val="baseline"/>
                <w:lang w:eastAsia="zh-CN"/>
              </w:rPr>
              <w:t>属性</w:t>
            </w:r>
          </w:p>
        </w:tc>
      </w:tr>
      <w:tr w14:paraId="236B8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392" w:type="pct"/>
            <w:vMerge w:val="restart"/>
            <w:noWrap w:val="0"/>
            <w:vAlign w:val="center"/>
          </w:tcPr>
          <w:p w14:paraId="6FE550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bCs/>
                <w:color w:val="auto"/>
                <w:spacing w:val="0"/>
                <w:kern w:val="0"/>
                <w:sz w:val="21"/>
                <w:szCs w:val="21"/>
                <w:highlight w:val="none"/>
                <w:u w:val="none"/>
                <w:vertAlign w:val="baseline"/>
                <w:lang w:eastAsia="zh-CN"/>
              </w:rPr>
            </w:pPr>
            <w:r>
              <w:rPr>
                <w:rFonts w:hint="eastAsia" w:ascii="仿宋_GB2312" w:hAnsi="仿宋_GB2312" w:eastAsia="仿宋_GB2312" w:cs="仿宋_GB2312"/>
                <w:b/>
                <w:bCs/>
                <w:color w:val="auto"/>
                <w:spacing w:val="0"/>
                <w:kern w:val="0"/>
                <w:sz w:val="21"/>
                <w:szCs w:val="21"/>
                <w:highlight w:val="none"/>
                <w:u w:val="none"/>
                <w:vertAlign w:val="baseline"/>
                <w:lang w:eastAsia="zh-CN"/>
              </w:rPr>
              <w:t>经济发展</w:t>
            </w:r>
          </w:p>
        </w:tc>
        <w:tc>
          <w:tcPr>
            <w:tcW w:w="1861" w:type="pct"/>
            <w:gridSpan w:val="2"/>
            <w:noWrap w:val="0"/>
            <w:vAlign w:val="center"/>
          </w:tcPr>
          <w:p w14:paraId="7E33273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eastAsia="zh-CN"/>
              </w:rPr>
            </w:pPr>
            <w:r>
              <w:rPr>
                <w:rFonts w:hint="eastAsia" w:ascii="仿宋_GB2312" w:hAnsi="仿宋_GB2312" w:eastAsia="仿宋_GB2312" w:cs="仿宋_GB2312"/>
                <w:b w:val="0"/>
                <w:bCs w:val="0"/>
                <w:color w:val="auto"/>
                <w:spacing w:val="0"/>
                <w:w w:val="100"/>
                <w:kern w:val="0"/>
                <w:position w:val="0"/>
                <w:sz w:val="21"/>
                <w:szCs w:val="21"/>
                <w:highlight w:val="none"/>
                <w:u w:val="none"/>
                <w:lang w:val="en-US" w:eastAsia="zh-CN"/>
              </w:rPr>
              <w:t>1.</w:t>
            </w:r>
            <w:r>
              <w:rPr>
                <w:rFonts w:hint="eastAsia" w:ascii="仿宋_GB2312" w:hAnsi="仿宋_GB2312" w:eastAsia="仿宋_GB2312" w:cs="仿宋_GB2312"/>
                <w:b w:val="0"/>
                <w:bCs w:val="0"/>
                <w:color w:val="auto"/>
                <w:spacing w:val="0"/>
                <w:w w:val="100"/>
                <w:kern w:val="0"/>
                <w:position w:val="0"/>
                <w:sz w:val="21"/>
                <w:szCs w:val="21"/>
                <w:highlight w:val="none"/>
                <w:u w:val="none"/>
              </w:rPr>
              <w:t>地区生产总值</w:t>
            </w:r>
            <w:r>
              <w:rPr>
                <w:rFonts w:hint="eastAsia" w:ascii="仿宋_GB2312" w:hAnsi="仿宋_GB2312" w:eastAsia="仿宋_GB2312" w:cs="仿宋_GB2312"/>
                <w:b w:val="0"/>
                <w:bCs w:val="0"/>
                <w:color w:val="auto"/>
                <w:spacing w:val="0"/>
                <w:w w:val="100"/>
                <w:kern w:val="0"/>
                <w:position w:val="0"/>
                <w:sz w:val="21"/>
                <w:szCs w:val="21"/>
                <w:highlight w:val="none"/>
                <w:u w:val="none"/>
                <w:lang w:eastAsia="zh-CN"/>
              </w:rPr>
              <w:t>（</w:t>
            </w:r>
            <w:r>
              <w:rPr>
                <w:rFonts w:hint="eastAsia" w:ascii="仿宋_GB2312" w:hAnsi="仿宋_GB2312" w:eastAsia="仿宋_GB2312" w:cs="仿宋_GB2312"/>
                <w:b w:val="0"/>
                <w:bCs w:val="0"/>
                <w:color w:val="auto"/>
                <w:spacing w:val="0"/>
                <w:w w:val="100"/>
                <w:kern w:val="0"/>
                <w:position w:val="0"/>
                <w:sz w:val="21"/>
                <w:szCs w:val="21"/>
                <w:highlight w:val="none"/>
                <w:u w:val="none"/>
                <w:lang w:val="en-US" w:eastAsia="zh-CN"/>
              </w:rPr>
              <w:t>GDP</w:t>
            </w:r>
            <w:r>
              <w:rPr>
                <w:rFonts w:hint="eastAsia" w:ascii="仿宋_GB2312" w:hAnsi="仿宋_GB2312" w:eastAsia="仿宋_GB2312" w:cs="仿宋_GB2312"/>
                <w:b w:val="0"/>
                <w:bCs w:val="0"/>
                <w:color w:val="auto"/>
                <w:spacing w:val="0"/>
                <w:w w:val="100"/>
                <w:kern w:val="0"/>
                <w:position w:val="0"/>
                <w:sz w:val="21"/>
                <w:szCs w:val="21"/>
                <w:highlight w:val="none"/>
                <w:u w:val="none"/>
                <w:lang w:eastAsia="zh-CN"/>
              </w:rPr>
              <w:t>）</w:t>
            </w:r>
            <w:r>
              <w:rPr>
                <w:rFonts w:hint="eastAsia" w:ascii="仿宋_GB2312" w:hAnsi="仿宋_GB2312" w:eastAsia="仿宋_GB2312" w:cs="仿宋_GB2312"/>
                <w:b w:val="0"/>
                <w:bCs w:val="0"/>
                <w:color w:val="auto"/>
                <w:spacing w:val="0"/>
                <w:w w:val="100"/>
                <w:kern w:val="0"/>
                <w:position w:val="0"/>
                <w:sz w:val="21"/>
                <w:szCs w:val="21"/>
                <w:highlight w:val="none"/>
                <w:u w:val="none"/>
              </w:rPr>
              <w:t>增</w:t>
            </w:r>
            <w:r>
              <w:rPr>
                <w:rFonts w:hint="eastAsia" w:ascii="仿宋_GB2312" w:hAnsi="仿宋_GB2312" w:eastAsia="仿宋_GB2312" w:cs="仿宋_GB2312"/>
                <w:b w:val="0"/>
                <w:bCs w:val="0"/>
                <w:color w:val="auto"/>
                <w:spacing w:val="0"/>
                <w:w w:val="100"/>
                <w:kern w:val="0"/>
                <w:position w:val="0"/>
                <w:sz w:val="21"/>
                <w:szCs w:val="21"/>
                <w:highlight w:val="none"/>
                <w:u w:val="none"/>
                <w:lang w:eastAsia="zh-CN"/>
              </w:rPr>
              <w:t>长（</w:t>
            </w:r>
            <w:r>
              <w:rPr>
                <w:rFonts w:hint="eastAsia" w:ascii="仿宋_GB2312" w:hAnsi="仿宋_GB2312" w:eastAsia="仿宋_GB2312" w:cs="仿宋_GB2312"/>
                <w:b w:val="0"/>
                <w:bCs w:val="0"/>
                <w:color w:val="auto"/>
                <w:spacing w:val="0"/>
                <w:w w:val="100"/>
                <w:kern w:val="0"/>
                <w:position w:val="0"/>
                <w:sz w:val="21"/>
                <w:szCs w:val="21"/>
                <w:highlight w:val="none"/>
                <w:u w:val="none"/>
              </w:rPr>
              <w:t>％</w:t>
            </w:r>
            <w:r>
              <w:rPr>
                <w:rFonts w:hint="eastAsia" w:ascii="仿宋_GB2312" w:hAnsi="仿宋_GB2312" w:eastAsia="仿宋_GB2312" w:cs="仿宋_GB2312"/>
                <w:b w:val="0"/>
                <w:bCs w:val="0"/>
                <w:color w:val="auto"/>
                <w:spacing w:val="0"/>
                <w:w w:val="100"/>
                <w:kern w:val="0"/>
                <w:position w:val="0"/>
                <w:sz w:val="21"/>
                <w:szCs w:val="21"/>
                <w:highlight w:val="none"/>
                <w:u w:val="none"/>
                <w:lang w:eastAsia="zh-CN"/>
              </w:rPr>
              <w:t>）</w:t>
            </w:r>
          </w:p>
        </w:tc>
        <w:tc>
          <w:tcPr>
            <w:tcW w:w="805" w:type="pct"/>
            <w:noWrap w:val="0"/>
            <w:vAlign w:val="center"/>
          </w:tcPr>
          <w:p w14:paraId="1BBA9F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5.7</w:t>
            </w:r>
          </w:p>
        </w:tc>
        <w:tc>
          <w:tcPr>
            <w:tcW w:w="593" w:type="pct"/>
            <w:noWrap w:val="0"/>
            <w:vAlign w:val="center"/>
          </w:tcPr>
          <w:p w14:paraId="22CBD09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eastAsia="zh-CN"/>
              </w:rPr>
              <w:t>—</w:t>
            </w:r>
          </w:p>
        </w:tc>
        <w:tc>
          <w:tcPr>
            <w:tcW w:w="855" w:type="pct"/>
            <w:noWrap w:val="0"/>
            <w:vAlign w:val="center"/>
          </w:tcPr>
          <w:p w14:paraId="124F2F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6左右</w:t>
            </w:r>
          </w:p>
        </w:tc>
        <w:tc>
          <w:tcPr>
            <w:tcW w:w="492" w:type="pct"/>
            <w:noWrap w:val="0"/>
            <w:vAlign w:val="center"/>
          </w:tcPr>
          <w:p w14:paraId="56D7A4D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eastAsia="zh-CN"/>
              </w:rPr>
              <w:t>预期性</w:t>
            </w:r>
          </w:p>
        </w:tc>
      </w:tr>
      <w:tr w14:paraId="20AA4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392" w:type="pct"/>
            <w:vMerge w:val="continue"/>
            <w:noWrap w:val="0"/>
            <w:vAlign w:val="center"/>
          </w:tcPr>
          <w:p w14:paraId="19FACC5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bCs/>
                <w:color w:val="auto"/>
                <w:spacing w:val="0"/>
                <w:kern w:val="0"/>
                <w:sz w:val="21"/>
                <w:szCs w:val="21"/>
                <w:highlight w:val="none"/>
                <w:u w:val="none"/>
                <w:vertAlign w:val="baseline"/>
                <w:lang w:eastAsia="zh-CN"/>
              </w:rPr>
            </w:pPr>
          </w:p>
        </w:tc>
        <w:tc>
          <w:tcPr>
            <w:tcW w:w="1861" w:type="pct"/>
            <w:gridSpan w:val="2"/>
            <w:noWrap w:val="0"/>
            <w:vAlign w:val="center"/>
          </w:tcPr>
          <w:p w14:paraId="73A37DC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w w:val="100"/>
                <w:kern w:val="0"/>
                <w:position w:val="0"/>
                <w:sz w:val="21"/>
                <w:szCs w:val="21"/>
                <w:highlight w:val="none"/>
                <w:u w:val="none"/>
                <w:lang w:val="en-US" w:eastAsia="zh-CN"/>
              </w:rPr>
              <w:t>2.</w:t>
            </w:r>
            <w:r>
              <w:rPr>
                <w:rFonts w:hint="eastAsia" w:ascii="仿宋_GB2312" w:hAnsi="仿宋_GB2312" w:eastAsia="仿宋_GB2312" w:cs="仿宋_GB2312"/>
                <w:b w:val="0"/>
                <w:bCs w:val="0"/>
                <w:color w:val="auto"/>
                <w:spacing w:val="0"/>
                <w:w w:val="100"/>
                <w:kern w:val="0"/>
                <w:position w:val="0"/>
                <w:sz w:val="21"/>
                <w:szCs w:val="21"/>
                <w:highlight w:val="none"/>
                <w:u w:val="none"/>
              </w:rPr>
              <w:t>全员劳动生产率增</w:t>
            </w:r>
            <w:r>
              <w:rPr>
                <w:rFonts w:hint="eastAsia" w:ascii="仿宋_GB2312" w:hAnsi="仿宋_GB2312" w:eastAsia="仿宋_GB2312" w:cs="仿宋_GB2312"/>
                <w:b w:val="0"/>
                <w:bCs w:val="0"/>
                <w:color w:val="auto"/>
                <w:spacing w:val="0"/>
                <w:w w:val="100"/>
                <w:kern w:val="0"/>
                <w:position w:val="0"/>
                <w:sz w:val="21"/>
                <w:szCs w:val="21"/>
                <w:highlight w:val="none"/>
                <w:u w:val="none"/>
                <w:lang w:val="en-US" w:eastAsia="zh-CN"/>
              </w:rPr>
              <w:t>长</w:t>
            </w:r>
            <w:r>
              <w:rPr>
                <w:rFonts w:hint="eastAsia" w:ascii="仿宋_GB2312" w:hAnsi="仿宋_GB2312" w:eastAsia="仿宋_GB2312" w:cs="仿宋_GB2312"/>
                <w:b w:val="0"/>
                <w:bCs w:val="0"/>
                <w:color w:val="auto"/>
                <w:spacing w:val="0"/>
                <w:w w:val="100"/>
                <w:kern w:val="0"/>
                <w:position w:val="0"/>
                <w:sz w:val="21"/>
                <w:szCs w:val="21"/>
                <w:highlight w:val="none"/>
                <w:u w:val="none"/>
                <w:lang w:eastAsia="zh-CN"/>
              </w:rPr>
              <w:t>（</w:t>
            </w:r>
            <w:r>
              <w:rPr>
                <w:rFonts w:hint="eastAsia" w:ascii="仿宋_GB2312" w:hAnsi="仿宋_GB2312" w:eastAsia="仿宋_GB2312" w:cs="仿宋_GB2312"/>
                <w:b w:val="0"/>
                <w:bCs w:val="0"/>
                <w:color w:val="auto"/>
                <w:spacing w:val="0"/>
                <w:w w:val="100"/>
                <w:kern w:val="0"/>
                <w:position w:val="0"/>
                <w:sz w:val="21"/>
                <w:szCs w:val="21"/>
                <w:highlight w:val="none"/>
                <w:u w:val="none"/>
              </w:rPr>
              <w:t>％</w:t>
            </w:r>
            <w:r>
              <w:rPr>
                <w:rFonts w:hint="eastAsia" w:ascii="仿宋_GB2312" w:hAnsi="仿宋_GB2312" w:eastAsia="仿宋_GB2312" w:cs="仿宋_GB2312"/>
                <w:b w:val="0"/>
                <w:bCs w:val="0"/>
                <w:color w:val="auto"/>
                <w:spacing w:val="0"/>
                <w:w w:val="100"/>
                <w:kern w:val="0"/>
                <w:position w:val="0"/>
                <w:sz w:val="21"/>
                <w:szCs w:val="21"/>
                <w:highlight w:val="none"/>
                <w:u w:val="none"/>
                <w:lang w:eastAsia="zh-CN"/>
              </w:rPr>
              <w:t>）</w:t>
            </w:r>
          </w:p>
        </w:tc>
        <w:tc>
          <w:tcPr>
            <w:tcW w:w="805" w:type="pct"/>
            <w:noWrap w:val="0"/>
            <w:vAlign w:val="center"/>
          </w:tcPr>
          <w:p w14:paraId="6C3544E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w:t>
            </w:r>
          </w:p>
        </w:tc>
        <w:tc>
          <w:tcPr>
            <w:tcW w:w="593" w:type="pct"/>
            <w:noWrap w:val="0"/>
            <w:vAlign w:val="center"/>
          </w:tcPr>
          <w:p w14:paraId="302063A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w:t>
            </w:r>
          </w:p>
        </w:tc>
        <w:tc>
          <w:tcPr>
            <w:tcW w:w="855" w:type="pct"/>
            <w:noWrap w:val="0"/>
            <w:vAlign w:val="center"/>
          </w:tcPr>
          <w:p w14:paraId="6E98134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高于 GDP 增长</w:t>
            </w:r>
          </w:p>
        </w:tc>
        <w:tc>
          <w:tcPr>
            <w:tcW w:w="492" w:type="pct"/>
            <w:noWrap w:val="0"/>
            <w:vAlign w:val="center"/>
          </w:tcPr>
          <w:p w14:paraId="608952C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eastAsia="zh-CN"/>
              </w:rPr>
              <w:t>预期性</w:t>
            </w:r>
          </w:p>
        </w:tc>
      </w:tr>
      <w:tr w14:paraId="07F39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392" w:type="pct"/>
            <w:vMerge w:val="continue"/>
            <w:noWrap w:val="0"/>
            <w:vAlign w:val="center"/>
          </w:tcPr>
          <w:p w14:paraId="3FD211C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bCs/>
                <w:color w:val="auto"/>
                <w:spacing w:val="0"/>
                <w:kern w:val="0"/>
                <w:sz w:val="21"/>
                <w:szCs w:val="21"/>
                <w:highlight w:val="none"/>
                <w:u w:val="none"/>
                <w:vertAlign w:val="baseline"/>
                <w:lang w:eastAsia="zh-CN"/>
              </w:rPr>
            </w:pPr>
          </w:p>
        </w:tc>
        <w:tc>
          <w:tcPr>
            <w:tcW w:w="1861" w:type="pct"/>
            <w:gridSpan w:val="2"/>
            <w:noWrap w:val="0"/>
            <w:vAlign w:val="center"/>
          </w:tcPr>
          <w:p w14:paraId="3A544F3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3.</w:t>
            </w:r>
            <w:r>
              <w:rPr>
                <w:rFonts w:hint="eastAsia" w:ascii="仿宋_GB2312" w:hAnsi="仿宋_GB2312" w:eastAsia="仿宋_GB2312" w:cs="仿宋_GB2312"/>
                <w:b w:val="0"/>
                <w:bCs w:val="0"/>
                <w:color w:val="auto"/>
                <w:spacing w:val="0"/>
                <w:w w:val="100"/>
                <w:kern w:val="0"/>
                <w:position w:val="0"/>
                <w:sz w:val="21"/>
                <w:szCs w:val="21"/>
                <w:highlight w:val="none"/>
                <w:u w:val="none"/>
              </w:rPr>
              <w:t>常住人口城镇化率</w:t>
            </w:r>
            <w:r>
              <w:rPr>
                <w:rFonts w:hint="eastAsia" w:ascii="仿宋_GB2312" w:hAnsi="仿宋_GB2312" w:eastAsia="仿宋_GB2312" w:cs="仿宋_GB2312"/>
                <w:b w:val="0"/>
                <w:bCs w:val="0"/>
                <w:color w:val="auto"/>
                <w:spacing w:val="0"/>
                <w:w w:val="100"/>
                <w:kern w:val="0"/>
                <w:position w:val="0"/>
                <w:sz w:val="21"/>
                <w:szCs w:val="21"/>
                <w:highlight w:val="none"/>
                <w:u w:val="none"/>
                <w:lang w:eastAsia="zh-CN"/>
              </w:rPr>
              <w:t>（</w:t>
            </w:r>
            <w:r>
              <w:rPr>
                <w:rFonts w:hint="eastAsia" w:ascii="仿宋_GB2312" w:hAnsi="仿宋_GB2312" w:eastAsia="仿宋_GB2312" w:cs="仿宋_GB2312"/>
                <w:b w:val="0"/>
                <w:bCs w:val="0"/>
                <w:color w:val="auto"/>
                <w:spacing w:val="0"/>
                <w:w w:val="100"/>
                <w:kern w:val="0"/>
                <w:position w:val="0"/>
                <w:sz w:val="21"/>
                <w:szCs w:val="21"/>
                <w:highlight w:val="none"/>
                <w:u w:val="none"/>
              </w:rPr>
              <w:t>％</w:t>
            </w:r>
            <w:r>
              <w:rPr>
                <w:rFonts w:hint="eastAsia" w:ascii="仿宋_GB2312" w:hAnsi="仿宋_GB2312" w:eastAsia="仿宋_GB2312" w:cs="仿宋_GB2312"/>
                <w:b w:val="0"/>
                <w:bCs w:val="0"/>
                <w:color w:val="auto"/>
                <w:spacing w:val="0"/>
                <w:w w:val="100"/>
                <w:kern w:val="0"/>
                <w:position w:val="0"/>
                <w:sz w:val="21"/>
                <w:szCs w:val="21"/>
                <w:highlight w:val="none"/>
                <w:u w:val="none"/>
                <w:lang w:eastAsia="zh-CN"/>
              </w:rPr>
              <w:t>）</w:t>
            </w:r>
          </w:p>
        </w:tc>
        <w:tc>
          <w:tcPr>
            <w:tcW w:w="805" w:type="pct"/>
            <w:noWrap w:val="0"/>
            <w:vAlign w:val="center"/>
          </w:tcPr>
          <w:p w14:paraId="2201C68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50.28</w:t>
            </w:r>
          </w:p>
        </w:tc>
        <w:tc>
          <w:tcPr>
            <w:tcW w:w="593" w:type="pct"/>
            <w:noWrap w:val="0"/>
            <w:vAlign w:val="center"/>
          </w:tcPr>
          <w:p w14:paraId="5534E9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55</w:t>
            </w:r>
          </w:p>
        </w:tc>
        <w:tc>
          <w:tcPr>
            <w:tcW w:w="855" w:type="pct"/>
            <w:noWrap w:val="0"/>
            <w:vAlign w:val="center"/>
          </w:tcPr>
          <w:p w14:paraId="0F7B6D1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w:t>
            </w:r>
          </w:p>
        </w:tc>
        <w:tc>
          <w:tcPr>
            <w:tcW w:w="492" w:type="pct"/>
            <w:noWrap w:val="0"/>
            <w:vAlign w:val="center"/>
          </w:tcPr>
          <w:p w14:paraId="0788F67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eastAsia="zh-CN"/>
              </w:rPr>
              <w:t>预期性</w:t>
            </w:r>
          </w:p>
        </w:tc>
      </w:tr>
      <w:tr w14:paraId="43E98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392" w:type="pct"/>
            <w:vMerge w:val="restart"/>
            <w:noWrap w:val="0"/>
            <w:vAlign w:val="center"/>
          </w:tcPr>
          <w:p w14:paraId="20435A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bCs/>
                <w:color w:val="auto"/>
                <w:spacing w:val="0"/>
                <w:kern w:val="0"/>
                <w:sz w:val="21"/>
                <w:szCs w:val="21"/>
                <w:highlight w:val="none"/>
                <w:u w:val="none"/>
                <w:vertAlign w:val="baseline"/>
                <w:lang w:eastAsia="zh-CN"/>
              </w:rPr>
            </w:pPr>
            <w:r>
              <w:rPr>
                <w:rFonts w:hint="eastAsia" w:ascii="仿宋_GB2312" w:hAnsi="仿宋_GB2312" w:eastAsia="仿宋_GB2312" w:cs="仿宋_GB2312"/>
                <w:b/>
                <w:bCs/>
                <w:color w:val="auto"/>
                <w:spacing w:val="0"/>
                <w:kern w:val="0"/>
                <w:sz w:val="21"/>
                <w:szCs w:val="21"/>
                <w:highlight w:val="none"/>
                <w:u w:val="none"/>
                <w:vertAlign w:val="baseline"/>
                <w:lang w:eastAsia="zh-CN"/>
              </w:rPr>
              <w:t>创新驱动</w:t>
            </w:r>
          </w:p>
        </w:tc>
        <w:tc>
          <w:tcPr>
            <w:tcW w:w="1861" w:type="pct"/>
            <w:gridSpan w:val="2"/>
            <w:noWrap w:val="0"/>
            <w:vAlign w:val="center"/>
          </w:tcPr>
          <w:p w14:paraId="77A47A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4.</w:t>
            </w:r>
            <w:r>
              <w:rPr>
                <w:rFonts w:hint="eastAsia" w:ascii="仿宋_GB2312" w:hAnsi="仿宋_GB2312" w:eastAsia="仿宋_GB2312" w:cs="仿宋_GB2312"/>
                <w:b w:val="0"/>
                <w:bCs w:val="0"/>
                <w:color w:val="auto"/>
                <w:spacing w:val="0"/>
                <w:w w:val="100"/>
                <w:kern w:val="0"/>
                <w:position w:val="0"/>
                <w:sz w:val="21"/>
                <w:szCs w:val="21"/>
                <w:highlight w:val="none"/>
                <w:u w:val="none"/>
                <w:lang w:eastAsia="zh-CN"/>
              </w:rPr>
              <w:t>全社会</w:t>
            </w:r>
            <w:r>
              <w:rPr>
                <w:rFonts w:hint="eastAsia" w:ascii="仿宋_GB2312" w:hAnsi="仿宋_GB2312" w:eastAsia="仿宋_GB2312" w:cs="仿宋_GB2312"/>
                <w:b w:val="0"/>
                <w:bCs w:val="0"/>
                <w:color w:val="auto"/>
                <w:spacing w:val="0"/>
                <w:w w:val="100"/>
                <w:kern w:val="0"/>
                <w:position w:val="0"/>
                <w:sz w:val="21"/>
                <w:szCs w:val="21"/>
                <w:highlight w:val="none"/>
                <w:u w:val="none"/>
              </w:rPr>
              <w:t>研发经费投入增长</w:t>
            </w:r>
            <w:r>
              <w:rPr>
                <w:rFonts w:hint="eastAsia" w:ascii="仿宋_GB2312" w:hAnsi="仿宋_GB2312" w:eastAsia="仿宋_GB2312" w:cs="仿宋_GB2312"/>
                <w:b w:val="0"/>
                <w:bCs w:val="0"/>
                <w:color w:val="auto"/>
                <w:spacing w:val="0"/>
                <w:w w:val="100"/>
                <w:kern w:val="0"/>
                <w:position w:val="0"/>
                <w:sz w:val="21"/>
                <w:szCs w:val="21"/>
                <w:highlight w:val="none"/>
                <w:u w:val="none"/>
                <w:lang w:eastAsia="zh-CN"/>
              </w:rPr>
              <w:t>（</w:t>
            </w:r>
            <w:r>
              <w:rPr>
                <w:rFonts w:hint="eastAsia" w:ascii="仿宋_GB2312" w:hAnsi="仿宋_GB2312" w:eastAsia="仿宋_GB2312" w:cs="仿宋_GB2312"/>
                <w:b w:val="0"/>
                <w:bCs w:val="0"/>
                <w:color w:val="auto"/>
                <w:spacing w:val="0"/>
                <w:w w:val="100"/>
                <w:kern w:val="0"/>
                <w:position w:val="0"/>
                <w:sz w:val="21"/>
                <w:szCs w:val="21"/>
                <w:highlight w:val="none"/>
                <w:u w:val="none"/>
              </w:rPr>
              <w:t>％</w:t>
            </w:r>
            <w:r>
              <w:rPr>
                <w:rFonts w:hint="eastAsia" w:ascii="仿宋_GB2312" w:hAnsi="仿宋_GB2312" w:eastAsia="仿宋_GB2312" w:cs="仿宋_GB2312"/>
                <w:b w:val="0"/>
                <w:bCs w:val="0"/>
                <w:color w:val="auto"/>
                <w:spacing w:val="0"/>
                <w:w w:val="100"/>
                <w:kern w:val="0"/>
                <w:position w:val="0"/>
                <w:sz w:val="21"/>
                <w:szCs w:val="21"/>
                <w:highlight w:val="none"/>
                <w:u w:val="none"/>
                <w:lang w:eastAsia="zh-CN"/>
              </w:rPr>
              <w:t>）</w:t>
            </w:r>
          </w:p>
        </w:tc>
        <w:tc>
          <w:tcPr>
            <w:tcW w:w="805" w:type="pct"/>
            <w:noWrap w:val="0"/>
            <w:vAlign w:val="center"/>
          </w:tcPr>
          <w:p w14:paraId="54A32F7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10</w:t>
            </w:r>
          </w:p>
        </w:tc>
        <w:tc>
          <w:tcPr>
            <w:tcW w:w="593" w:type="pct"/>
            <w:noWrap w:val="0"/>
            <w:vAlign w:val="center"/>
          </w:tcPr>
          <w:p w14:paraId="3E32742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全市平均水平</w:t>
            </w:r>
          </w:p>
        </w:tc>
        <w:tc>
          <w:tcPr>
            <w:tcW w:w="855" w:type="pct"/>
            <w:noWrap w:val="0"/>
            <w:vAlign w:val="center"/>
          </w:tcPr>
          <w:p w14:paraId="16C590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全市平均水平</w:t>
            </w:r>
          </w:p>
        </w:tc>
        <w:tc>
          <w:tcPr>
            <w:tcW w:w="492" w:type="pct"/>
            <w:noWrap w:val="0"/>
            <w:vAlign w:val="center"/>
          </w:tcPr>
          <w:p w14:paraId="57B735C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eastAsia="zh-CN"/>
              </w:rPr>
              <w:t>预期性</w:t>
            </w:r>
          </w:p>
        </w:tc>
      </w:tr>
      <w:tr w14:paraId="26C4A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392" w:type="pct"/>
            <w:vMerge w:val="continue"/>
            <w:noWrap w:val="0"/>
            <w:vAlign w:val="center"/>
          </w:tcPr>
          <w:p w14:paraId="4613F2B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bCs/>
                <w:color w:val="auto"/>
                <w:spacing w:val="0"/>
                <w:kern w:val="0"/>
                <w:sz w:val="21"/>
                <w:szCs w:val="21"/>
                <w:highlight w:val="none"/>
                <w:u w:val="none"/>
                <w:vertAlign w:val="baseline"/>
                <w:lang w:eastAsia="zh-CN"/>
              </w:rPr>
            </w:pPr>
          </w:p>
        </w:tc>
        <w:tc>
          <w:tcPr>
            <w:tcW w:w="1861" w:type="pct"/>
            <w:gridSpan w:val="2"/>
            <w:noWrap w:val="0"/>
            <w:vAlign w:val="center"/>
          </w:tcPr>
          <w:p w14:paraId="0FC708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5.</w:t>
            </w:r>
            <w:r>
              <w:rPr>
                <w:rFonts w:hint="eastAsia" w:ascii="仿宋_GB2312" w:hAnsi="仿宋_GB2312" w:eastAsia="仿宋_GB2312" w:cs="仿宋_GB2312"/>
                <w:b w:val="0"/>
                <w:bCs w:val="0"/>
                <w:color w:val="auto"/>
                <w:spacing w:val="0"/>
                <w:w w:val="100"/>
                <w:kern w:val="0"/>
                <w:position w:val="0"/>
                <w:sz w:val="21"/>
                <w:szCs w:val="21"/>
                <w:highlight w:val="none"/>
                <w:u w:val="none"/>
              </w:rPr>
              <w:t>每万人口</w:t>
            </w:r>
            <w:r>
              <w:rPr>
                <w:rFonts w:hint="eastAsia" w:ascii="仿宋_GB2312" w:hAnsi="仿宋_GB2312" w:eastAsia="仿宋_GB2312" w:cs="仿宋_GB2312"/>
                <w:b w:val="0"/>
                <w:bCs w:val="0"/>
                <w:color w:val="auto"/>
                <w:spacing w:val="0"/>
                <w:w w:val="100"/>
                <w:kern w:val="0"/>
                <w:position w:val="0"/>
                <w:sz w:val="21"/>
                <w:szCs w:val="21"/>
                <w:highlight w:val="none"/>
                <w:u w:val="none"/>
                <w:lang w:eastAsia="zh-CN"/>
              </w:rPr>
              <w:t>高价值</w:t>
            </w:r>
            <w:r>
              <w:rPr>
                <w:rFonts w:hint="eastAsia" w:ascii="仿宋_GB2312" w:hAnsi="仿宋_GB2312" w:eastAsia="仿宋_GB2312" w:cs="仿宋_GB2312"/>
                <w:b w:val="0"/>
                <w:bCs w:val="0"/>
                <w:color w:val="auto"/>
                <w:spacing w:val="0"/>
                <w:w w:val="100"/>
                <w:kern w:val="0"/>
                <w:position w:val="0"/>
                <w:sz w:val="21"/>
                <w:szCs w:val="21"/>
                <w:highlight w:val="none"/>
                <w:u w:val="none"/>
              </w:rPr>
              <w:t>发明专利</w:t>
            </w:r>
            <w:r>
              <w:rPr>
                <w:rFonts w:hint="eastAsia" w:ascii="仿宋_GB2312" w:hAnsi="仿宋_GB2312" w:eastAsia="仿宋_GB2312" w:cs="仿宋_GB2312"/>
                <w:b w:val="0"/>
                <w:bCs w:val="0"/>
                <w:color w:val="auto"/>
                <w:spacing w:val="0"/>
                <w:w w:val="100"/>
                <w:kern w:val="0"/>
                <w:position w:val="0"/>
                <w:sz w:val="21"/>
                <w:szCs w:val="21"/>
                <w:highlight w:val="none"/>
                <w:u w:val="none"/>
                <w:lang w:eastAsia="zh-CN"/>
              </w:rPr>
              <w:t>拥有量（件）</w:t>
            </w:r>
          </w:p>
        </w:tc>
        <w:tc>
          <w:tcPr>
            <w:tcW w:w="805" w:type="pct"/>
            <w:noWrap w:val="0"/>
            <w:vAlign w:val="center"/>
          </w:tcPr>
          <w:p w14:paraId="7E9EE60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3.58</w:t>
            </w:r>
          </w:p>
        </w:tc>
        <w:tc>
          <w:tcPr>
            <w:tcW w:w="593" w:type="pct"/>
            <w:noWrap w:val="0"/>
            <w:vAlign w:val="center"/>
          </w:tcPr>
          <w:p w14:paraId="06E5E1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4.27</w:t>
            </w:r>
          </w:p>
        </w:tc>
        <w:tc>
          <w:tcPr>
            <w:tcW w:w="855" w:type="pct"/>
            <w:noWrap w:val="0"/>
            <w:vAlign w:val="center"/>
          </w:tcPr>
          <w:p w14:paraId="2549D0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3.6</w:t>
            </w:r>
          </w:p>
        </w:tc>
        <w:tc>
          <w:tcPr>
            <w:tcW w:w="492" w:type="pct"/>
            <w:noWrap w:val="0"/>
            <w:vAlign w:val="center"/>
          </w:tcPr>
          <w:p w14:paraId="6C2F0AC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eastAsia="zh-CN"/>
              </w:rPr>
              <w:t>预期性</w:t>
            </w:r>
          </w:p>
        </w:tc>
      </w:tr>
      <w:tr w14:paraId="45C6C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392" w:type="pct"/>
            <w:vMerge w:val="continue"/>
            <w:noWrap w:val="0"/>
            <w:vAlign w:val="center"/>
          </w:tcPr>
          <w:p w14:paraId="339E06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bCs/>
                <w:color w:val="auto"/>
                <w:spacing w:val="0"/>
                <w:kern w:val="0"/>
                <w:sz w:val="21"/>
                <w:szCs w:val="21"/>
                <w:highlight w:val="none"/>
                <w:u w:val="none"/>
                <w:vertAlign w:val="baseline"/>
                <w:lang w:eastAsia="zh-CN"/>
              </w:rPr>
            </w:pPr>
          </w:p>
        </w:tc>
        <w:tc>
          <w:tcPr>
            <w:tcW w:w="1861" w:type="pct"/>
            <w:gridSpan w:val="2"/>
            <w:noWrap w:val="0"/>
            <w:vAlign w:val="center"/>
          </w:tcPr>
          <w:p w14:paraId="650F9C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6.</w:t>
            </w:r>
            <w:r>
              <w:rPr>
                <w:rFonts w:hint="eastAsia" w:ascii="仿宋_GB2312" w:hAnsi="仿宋_GB2312" w:eastAsia="仿宋_GB2312" w:cs="仿宋_GB2312"/>
                <w:b w:val="0"/>
                <w:bCs w:val="0"/>
                <w:color w:val="auto"/>
                <w:spacing w:val="0"/>
                <w:w w:val="100"/>
                <w:kern w:val="0"/>
                <w:position w:val="0"/>
                <w:sz w:val="21"/>
                <w:szCs w:val="21"/>
                <w:highlight w:val="none"/>
                <w:u w:val="none"/>
              </w:rPr>
              <w:t>数字经济核心产业增加值占</w:t>
            </w:r>
            <w:r>
              <w:rPr>
                <w:rFonts w:hint="eastAsia" w:ascii="仿宋_GB2312" w:hAnsi="仿宋_GB2312" w:eastAsia="仿宋_GB2312" w:cs="仿宋_GB2312"/>
                <w:b w:val="0"/>
                <w:bCs w:val="0"/>
                <w:color w:val="auto"/>
                <w:spacing w:val="0"/>
                <w:w w:val="100"/>
                <w:kern w:val="0"/>
                <w:position w:val="0"/>
                <w:sz w:val="21"/>
                <w:szCs w:val="21"/>
                <w:highlight w:val="none"/>
                <w:u w:val="none"/>
                <w:lang w:val="en-US" w:eastAsia="zh-CN"/>
              </w:rPr>
              <w:t>GDP</w:t>
            </w:r>
            <w:r>
              <w:rPr>
                <w:rFonts w:hint="eastAsia" w:ascii="仿宋_GB2312" w:hAnsi="仿宋_GB2312" w:eastAsia="仿宋_GB2312" w:cs="仿宋_GB2312"/>
                <w:b w:val="0"/>
                <w:bCs w:val="0"/>
                <w:color w:val="auto"/>
                <w:spacing w:val="0"/>
                <w:w w:val="100"/>
                <w:kern w:val="0"/>
                <w:position w:val="0"/>
                <w:sz w:val="21"/>
                <w:szCs w:val="21"/>
                <w:highlight w:val="none"/>
                <w:u w:val="none"/>
              </w:rPr>
              <w:t>比重</w:t>
            </w:r>
            <w:r>
              <w:rPr>
                <w:rFonts w:hint="eastAsia" w:ascii="仿宋_GB2312" w:hAnsi="仿宋_GB2312" w:eastAsia="仿宋_GB2312" w:cs="仿宋_GB2312"/>
                <w:b w:val="0"/>
                <w:bCs w:val="0"/>
                <w:color w:val="auto"/>
                <w:spacing w:val="0"/>
                <w:w w:val="100"/>
                <w:kern w:val="0"/>
                <w:position w:val="0"/>
                <w:sz w:val="21"/>
                <w:szCs w:val="21"/>
                <w:highlight w:val="none"/>
                <w:u w:val="none"/>
                <w:lang w:eastAsia="zh-CN"/>
              </w:rPr>
              <w:t>（</w:t>
            </w:r>
            <w:r>
              <w:rPr>
                <w:rFonts w:hint="eastAsia" w:ascii="仿宋_GB2312" w:hAnsi="仿宋_GB2312" w:eastAsia="仿宋_GB2312" w:cs="仿宋_GB2312"/>
                <w:b w:val="0"/>
                <w:bCs w:val="0"/>
                <w:color w:val="auto"/>
                <w:spacing w:val="0"/>
                <w:w w:val="100"/>
                <w:kern w:val="0"/>
                <w:position w:val="0"/>
                <w:sz w:val="21"/>
                <w:szCs w:val="21"/>
                <w:highlight w:val="none"/>
                <w:u w:val="none"/>
              </w:rPr>
              <w:t>％</w:t>
            </w:r>
            <w:r>
              <w:rPr>
                <w:rFonts w:hint="eastAsia" w:ascii="仿宋_GB2312" w:hAnsi="仿宋_GB2312" w:eastAsia="仿宋_GB2312" w:cs="仿宋_GB2312"/>
                <w:b w:val="0"/>
                <w:bCs w:val="0"/>
                <w:color w:val="auto"/>
                <w:spacing w:val="0"/>
                <w:w w:val="100"/>
                <w:kern w:val="0"/>
                <w:position w:val="0"/>
                <w:sz w:val="21"/>
                <w:szCs w:val="21"/>
                <w:highlight w:val="none"/>
                <w:u w:val="none"/>
                <w:lang w:eastAsia="zh-CN"/>
              </w:rPr>
              <w:t>）</w:t>
            </w:r>
          </w:p>
        </w:tc>
        <w:tc>
          <w:tcPr>
            <w:tcW w:w="805" w:type="pct"/>
            <w:noWrap w:val="0"/>
            <w:vAlign w:val="center"/>
          </w:tcPr>
          <w:p w14:paraId="1BD1F9D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4.88</w:t>
            </w:r>
          </w:p>
        </w:tc>
        <w:tc>
          <w:tcPr>
            <w:tcW w:w="593" w:type="pct"/>
            <w:noWrap w:val="0"/>
            <w:vAlign w:val="center"/>
          </w:tcPr>
          <w:p w14:paraId="5364D0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稳步增长</w:t>
            </w:r>
          </w:p>
        </w:tc>
        <w:tc>
          <w:tcPr>
            <w:tcW w:w="855" w:type="pct"/>
            <w:noWrap w:val="0"/>
            <w:vAlign w:val="center"/>
          </w:tcPr>
          <w:p w14:paraId="053511D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w:t>
            </w:r>
          </w:p>
        </w:tc>
        <w:tc>
          <w:tcPr>
            <w:tcW w:w="492" w:type="pct"/>
            <w:noWrap w:val="0"/>
            <w:vAlign w:val="center"/>
          </w:tcPr>
          <w:p w14:paraId="4C9E16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eastAsia="zh-CN"/>
              </w:rPr>
              <w:t>预期性</w:t>
            </w:r>
          </w:p>
        </w:tc>
      </w:tr>
      <w:tr w14:paraId="1EAB7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392" w:type="pct"/>
            <w:vMerge w:val="restart"/>
            <w:noWrap w:val="0"/>
            <w:vAlign w:val="center"/>
          </w:tcPr>
          <w:p w14:paraId="151C1F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bCs/>
                <w:color w:val="auto"/>
                <w:spacing w:val="0"/>
                <w:kern w:val="0"/>
                <w:sz w:val="21"/>
                <w:szCs w:val="21"/>
                <w:highlight w:val="none"/>
                <w:u w:val="none"/>
                <w:vertAlign w:val="baseline"/>
                <w:lang w:eastAsia="zh-CN"/>
              </w:rPr>
            </w:pPr>
            <w:r>
              <w:rPr>
                <w:rFonts w:hint="eastAsia" w:ascii="仿宋_GB2312" w:hAnsi="仿宋_GB2312" w:eastAsia="仿宋_GB2312" w:cs="仿宋_GB2312"/>
                <w:b/>
                <w:bCs/>
                <w:color w:val="auto"/>
                <w:spacing w:val="0"/>
                <w:kern w:val="0"/>
                <w:sz w:val="21"/>
                <w:szCs w:val="21"/>
                <w:highlight w:val="none"/>
                <w:u w:val="none"/>
                <w:vertAlign w:val="baseline"/>
                <w:lang w:eastAsia="zh-CN"/>
              </w:rPr>
              <w:t>民生福祉</w:t>
            </w:r>
          </w:p>
        </w:tc>
        <w:tc>
          <w:tcPr>
            <w:tcW w:w="1861" w:type="pct"/>
            <w:gridSpan w:val="2"/>
            <w:noWrap w:val="0"/>
            <w:vAlign w:val="center"/>
          </w:tcPr>
          <w:p w14:paraId="3768E66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7.城镇调查失业率</w:t>
            </w:r>
            <w:r>
              <w:rPr>
                <w:rFonts w:hint="eastAsia" w:ascii="仿宋_GB2312" w:hAnsi="仿宋_GB2312" w:eastAsia="仿宋_GB2312" w:cs="仿宋_GB2312"/>
                <w:b w:val="0"/>
                <w:bCs w:val="0"/>
                <w:color w:val="auto"/>
                <w:spacing w:val="0"/>
                <w:w w:val="100"/>
                <w:kern w:val="0"/>
                <w:position w:val="0"/>
                <w:sz w:val="21"/>
                <w:szCs w:val="21"/>
                <w:highlight w:val="none"/>
                <w:u w:val="none"/>
                <w:lang w:eastAsia="zh-CN"/>
              </w:rPr>
              <w:t>（</w:t>
            </w:r>
            <w:r>
              <w:rPr>
                <w:rFonts w:hint="eastAsia" w:ascii="仿宋_GB2312" w:hAnsi="仿宋_GB2312" w:eastAsia="仿宋_GB2312" w:cs="仿宋_GB2312"/>
                <w:b w:val="0"/>
                <w:bCs w:val="0"/>
                <w:color w:val="auto"/>
                <w:spacing w:val="0"/>
                <w:w w:val="100"/>
                <w:kern w:val="0"/>
                <w:position w:val="0"/>
                <w:sz w:val="21"/>
                <w:szCs w:val="21"/>
                <w:highlight w:val="none"/>
                <w:u w:val="none"/>
              </w:rPr>
              <w:t>％</w:t>
            </w:r>
            <w:r>
              <w:rPr>
                <w:rFonts w:hint="eastAsia" w:ascii="仿宋_GB2312" w:hAnsi="仿宋_GB2312" w:eastAsia="仿宋_GB2312" w:cs="仿宋_GB2312"/>
                <w:b w:val="0"/>
                <w:bCs w:val="0"/>
                <w:color w:val="auto"/>
                <w:spacing w:val="0"/>
                <w:w w:val="100"/>
                <w:kern w:val="0"/>
                <w:position w:val="0"/>
                <w:sz w:val="21"/>
                <w:szCs w:val="21"/>
                <w:highlight w:val="none"/>
                <w:u w:val="none"/>
                <w:lang w:eastAsia="zh-CN"/>
              </w:rPr>
              <w:t>）</w:t>
            </w:r>
          </w:p>
        </w:tc>
        <w:tc>
          <w:tcPr>
            <w:tcW w:w="805" w:type="pct"/>
            <w:noWrap w:val="0"/>
            <w:vAlign w:val="center"/>
          </w:tcPr>
          <w:p w14:paraId="58289A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&lt;5.5</w:t>
            </w:r>
          </w:p>
        </w:tc>
        <w:tc>
          <w:tcPr>
            <w:tcW w:w="593" w:type="pct"/>
            <w:noWrap w:val="0"/>
            <w:vAlign w:val="center"/>
          </w:tcPr>
          <w:p w14:paraId="4B6C4D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w:t>
            </w:r>
          </w:p>
        </w:tc>
        <w:tc>
          <w:tcPr>
            <w:tcW w:w="855" w:type="pct"/>
            <w:noWrap w:val="0"/>
            <w:vAlign w:val="center"/>
          </w:tcPr>
          <w:p w14:paraId="339C57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&lt;5.5</w:t>
            </w:r>
          </w:p>
        </w:tc>
        <w:tc>
          <w:tcPr>
            <w:tcW w:w="492" w:type="pct"/>
            <w:noWrap w:val="0"/>
            <w:vAlign w:val="center"/>
          </w:tcPr>
          <w:p w14:paraId="1067B56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eastAsia="zh-CN"/>
              </w:rPr>
              <w:t>预期性</w:t>
            </w:r>
          </w:p>
        </w:tc>
      </w:tr>
      <w:tr w14:paraId="531AC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392" w:type="pct"/>
            <w:vMerge w:val="continue"/>
            <w:noWrap w:val="0"/>
            <w:vAlign w:val="center"/>
          </w:tcPr>
          <w:p w14:paraId="5D1E626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bCs/>
                <w:color w:val="auto"/>
                <w:spacing w:val="0"/>
                <w:kern w:val="0"/>
                <w:sz w:val="21"/>
                <w:szCs w:val="21"/>
                <w:highlight w:val="none"/>
                <w:u w:val="none"/>
                <w:vertAlign w:val="baseline"/>
                <w:lang w:eastAsia="zh-CN"/>
              </w:rPr>
            </w:pPr>
          </w:p>
        </w:tc>
        <w:tc>
          <w:tcPr>
            <w:tcW w:w="1861" w:type="pct"/>
            <w:gridSpan w:val="2"/>
            <w:noWrap w:val="0"/>
            <w:vAlign w:val="center"/>
          </w:tcPr>
          <w:p w14:paraId="5EAD8E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8.</w:t>
            </w:r>
            <w:r>
              <w:rPr>
                <w:rFonts w:hint="eastAsia" w:ascii="仿宋_GB2312" w:hAnsi="仿宋_GB2312" w:eastAsia="仿宋_GB2312" w:cs="仿宋_GB2312"/>
                <w:b w:val="0"/>
                <w:bCs w:val="0"/>
                <w:color w:val="auto"/>
                <w:spacing w:val="0"/>
                <w:w w:val="100"/>
                <w:kern w:val="0"/>
                <w:position w:val="0"/>
                <w:sz w:val="21"/>
                <w:szCs w:val="21"/>
                <w:highlight w:val="none"/>
                <w:u w:val="none"/>
              </w:rPr>
              <w:t>居民人均可支配收入增长</w:t>
            </w:r>
            <w:r>
              <w:rPr>
                <w:rFonts w:hint="eastAsia" w:ascii="仿宋_GB2312" w:hAnsi="仿宋_GB2312" w:eastAsia="仿宋_GB2312" w:cs="仿宋_GB2312"/>
                <w:b w:val="0"/>
                <w:bCs w:val="0"/>
                <w:color w:val="auto"/>
                <w:spacing w:val="0"/>
                <w:w w:val="100"/>
                <w:kern w:val="0"/>
                <w:position w:val="0"/>
                <w:sz w:val="21"/>
                <w:szCs w:val="21"/>
                <w:highlight w:val="none"/>
                <w:u w:val="none"/>
                <w:lang w:eastAsia="zh-CN"/>
              </w:rPr>
              <w:t>（</w:t>
            </w:r>
            <w:r>
              <w:rPr>
                <w:rFonts w:hint="eastAsia" w:ascii="仿宋_GB2312" w:hAnsi="仿宋_GB2312" w:eastAsia="仿宋_GB2312" w:cs="仿宋_GB2312"/>
                <w:b w:val="0"/>
                <w:bCs w:val="0"/>
                <w:color w:val="auto"/>
                <w:spacing w:val="0"/>
                <w:w w:val="100"/>
                <w:kern w:val="0"/>
                <w:position w:val="0"/>
                <w:sz w:val="21"/>
                <w:szCs w:val="21"/>
                <w:highlight w:val="none"/>
                <w:u w:val="none"/>
              </w:rPr>
              <w:t>％</w:t>
            </w:r>
            <w:r>
              <w:rPr>
                <w:rFonts w:hint="eastAsia" w:ascii="仿宋_GB2312" w:hAnsi="仿宋_GB2312" w:eastAsia="仿宋_GB2312" w:cs="仿宋_GB2312"/>
                <w:b w:val="0"/>
                <w:bCs w:val="0"/>
                <w:color w:val="auto"/>
                <w:spacing w:val="0"/>
                <w:w w:val="100"/>
                <w:kern w:val="0"/>
                <w:position w:val="0"/>
                <w:sz w:val="21"/>
                <w:szCs w:val="21"/>
                <w:highlight w:val="none"/>
                <w:u w:val="none"/>
                <w:lang w:eastAsia="zh-CN"/>
              </w:rPr>
              <w:t>）</w:t>
            </w:r>
          </w:p>
        </w:tc>
        <w:tc>
          <w:tcPr>
            <w:tcW w:w="805" w:type="pct"/>
            <w:noWrap w:val="0"/>
            <w:vAlign w:val="center"/>
          </w:tcPr>
          <w:p w14:paraId="4AEB39F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与经济增长同步</w:t>
            </w:r>
          </w:p>
        </w:tc>
        <w:tc>
          <w:tcPr>
            <w:tcW w:w="593" w:type="pct"/>
            <w:noWrap w:val="0"/>
            <w:vAlign w:val="center"/>
          </w:tcPr>
          <w:p w14:paraId="4BD623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w:t>
            </w:r>
          </w:p>
        </w:tc>
        <w:tc>
          <w:tcPr>
            <w:tcW w:w="855" w:type="pct"/>
            <w:noWrap w:val="0"/>
            <w:vAlign w:val="center"/>
          </w:tcPr>
          <w:p w14:paraId="41CF22F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与 GDP增长同步</w:t>
            </w:r>
          </w:p>
        </w:tc>
        <w:tc>
          <w:tcPr>
            <w:tcW w:w="492" w:type="pct"/>
            <w:noWrap w:val="0"/>
            <w:vAlign w:val="center"/>
          </w:tcPr>
          <w:p w14:paraId="7C633E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eastAsia="zh-CN"/>
              </w:rPr>
              <w:t>预期性</w:t>
            </w:r>
          </w:p>
        </w:tc>
      </w:tr>
      <w:tr w14:paraId="5A9CC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392" w:type="pct"/>
            <w:vMerge w:val="continue"/>
            <w:noWrap w:val="0"/>
            <w:vAlign w:val="center"/>
          </w:tcPr>
          <w:p w14:paraId="31FDA2E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bCs/>
                <w:color w:val="auto"/>
                <w:spacing w:val="0"/>
                <w:kern w:val="0"/>
                <w:sz w:val="21"/>
                <w:szCs w:val="21"/>
                <w:highlight w:val="none"/>
                <w:u w:val="none"/>
                <w:vertAlign w:val="baseline"/>
                <w:lang w:eastAsia="zh-CN"/>
              </w:rPr>
            </w:pPr>
          </w:p>
        </w:tc>
        <w:tc>
          <w:tcPr>
            <w:tcW w:w="1861" w:type="pct"/>
            <w:gridSpan w:val="2"/>
            <w:noWrap w:val="0"/>
            <w:vAlign w:val="center"/>
          </w:tcPr>
          <w:p w14:paraId="4EE67D9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9.</w:t>
            </w:r>
            <w:r>
              <w:rPr>
                <w:rFonts w:hint="eastAsia" w:ascii="仿宋_GB2312" w:hAnsi="仿宋_GB2312" w:eastAsia="仿宋_GB2312" w:cs="仿宋_GB2312"/>
                <w:b w:val="0"/>
                <w:bCs w:val="0"/>
                <w:color w:val="auto"/>
                <w:spacing w:val="0"/>
                <w:w w:val="100"/>
                <w:kern w:val="0"/>
                <w:position w:val="0"/>
                <w:sz w:val="21"/>
                <w:szCs w:val="21"/>
                <w:highlight w:val="none"/>
                <w:u w:val="none"/>
              </w:rPr>
              <w:t>劳动年龄人口平均受教育年限</w:t>
            </w:r>
            <w:r>
              <w:rPr>
                <w:rFonts w:hint="eastAsia" w:ascii="仿宋_GB2312" w:hAnsi="仿宋_GB2312" w:eastAsia="仿宋_GB2312" w:cs="仿宋_GB2312"/>
                <w:b w:val="0"/>
                <w:bCs w:val="0"/>
                <w:color w:val="auto"/>
                <w:spacing w:val="0"/>
                <w:w w:val="100"/>
                <w:kern w:val="0"/>
                <w:position w:val="0"/>
                <w:sz w:val="21"/>
                <w:szCs w:val="21"/>
                <w:highlight w:val="none"/>
                <w:u w:val="none"/>
                <w:lang w:eastAsia="zh-CN"/>
              </w:rPr>
              <w:t>（年）</w:t>
            </w:r>
          </w:p>
        </w:tc>
        <w:tc>
          <w:tcPr>
            <w:tcW w:w="805" w:type="pct"/>
            <w:noWrap w:val="0"/>
            <w:vAlign w:val="center"/>
          </w:tcPr>
          <w:p w14:paraId="676F93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11.5</w:t>
            </w:r>
          </w:p>
        </w:tc>
        <w:tc>
          <w:tcPr>
            <w:tcW w:w="593" w:type="pct"/>
            <w:noWrap w:val="0"/>
            <w:vAlign w:val="center"/>
          </w:tcPr>
          <w:p w14:paraId="0F7546D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11.89</w:t>
            </w:r>
          </w:p>
        </w:tc>
        <w:tc>
          <w:tcPr>
            <w:tcW w:w="855" w:type="pct"/>
            <w:noWrap w:val="0"/>
            <w:vAlign w:val="center"/>
          </w:tcPr>
          <w:p w14:paraId="0576EA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w:t>
            </w:r>
          </w:p>
        </w:tc>
        <w:tc>
          <w:tcPr>
            <w:tcW w:w="492" w:type="pct"/>
            <w:noWrap w:val="0"/>
            <w:vAlign w:val="center"/>
          </w:tcPr>
          <w:p w14:paraId="077472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eastAsia="zh-CN"/>
              </w:rPr>
              <w:t>约束性</w:t>
            </w:r>
          </w:p>
        </w:tc>
      </w:tr>
      <w:tr w14:paraId="7AD5A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392" w:type="pct"/>
            <w:vMerge w:val="continue"/>
            <w:noWrap w:val="0"/>
            <w:vAlign w:val="center"/>
          </w:tcPr>
          <w:p w14:paraId="733D6A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bCs/>
                <w:color w:val="auto"/>
                <w:spacing w:val="0"/>
                <w:kern w:val="0"/>
                <w:sz w:val="21"/>
                <w:szCs w:val="21"/>
                <w:highlight w:val="none"/>
                <w:u w:val="none"/>
                <w:vertAlign w:val="baseline"/>
                <w:lang w:eastAsia="zh-CN"/>
              </w:rPr>
            </w:pPr>
          </w:p>
        </w:tc>
        <w:tc>
          <w:tcPr>
            <w:tcW w:w="1033" w:type="pct"/>
            <w:vMerge w:val="restart"/>
            <w:noWrap w:val="0"/>
            <w:vAlign w:val="center"/>
          </w:tcPr>
          <w:p w14:paraId="27F848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10.</w:t>
            </w:r>
            <w:r>
              <w:rPr>
                <w:rFonts w:hint="eastAsia" w:ascii="仿宋_GB2312" w:hAnsi="仿宋_GB2312" w:eastAsia="仿宋_GB2312" w:cs="仿宋_GB2312"/>
                <w:b w:val="0"/>
                <w:bCs w:val="0"/>
                <w:color w:val="auto"/>
                <w:spacing w:val="0"/>
                <w:w w:val="100"/>
                <w:kern w:val="0"/>
                <w:position w:val="0"/>
                <w:sz w:val="21"/>
                <w:szCs w:val="21"/>
                <w:highlight w:val="none"/>
                <w:u w:val="none"/>
              </w:rPr>
              <w:t>每千人口拥有</w:t>
            </w:r>
            <w:r>
              <w:rPr>
                <w:rFonts w:hint="eastAsia" w:ascii="仿宋_GB2312" w:hAnsi="仿宋_GB2312" w:eastAsia="仿宋_GB2312" w:cs="仿宋_GB2312"/>
                <w:b w:val="0"/>
                <w:bCs w:val="0"/>
                <w:color w:val="auto"/>
                <w:spacing w:val="0"/>
                <w:w w:val="100"/>
                <w:kern w:val="0"/>
                <w:position w:val="0"/>
                <w:sz w:val="21"/>
                <w:szCs w:val="21"/>
                <w:highlight w:val="none"/>
                <w:u w:val="none"/>
                <w:lang w:eastAsia="zh-CN"/>
              </w:rPr>
              <w:t>医护人员</w:t>
            </w:r>
            <w:r>
              <w:rPr>
                <w:rFonts w:hint="eastAsia" w:ascii="仿宋_GB2312" w:hAnsi="仿宋_GB2312" w:eastAsia="仿宋_GB2312" w:cs="仿宋_GB2312"/>
                <w:b w:val="0"/>
                <w:bCs w:val="0"/>
                <w:color w:val="auto"/>
                <w:spacing w:val="0"/>
                <w:w w:val="100"/>
                <w:kern w:val="0"/>
                <w:position w:val="0"/>
                <w:sz w:val="21"/>
                <w:szCs w:val="21"/>
                <w:highlight w:val="none"/>
                <w:u w:val="none"/>
              </w:rPr>
              <w:t>数</w:t>
            </w:r>
          </w:p>
        </w:tc>
        <w:tc>
          <w:tcPr>
            <w:tcW w:w="827" w:type="pct"/>
            <w:noWrap w:val="0"/>
            <w:vAlign w:val="center"/>
          </w:tcPr>
          <w:p w14:paraId="73765C1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执业医师数（人）</w:t>
            </w:r>
          </w:p>
        </w:tc>
        <w:tc>
          <w:tcPr>
            <w:tcW w:w="805" w:type="pct"/>
            <w:noWrap w:val="0"/>
            <w:vAlign w:val="center"/>
          </w:tcPr>
          <w:p w14:paraId="5907B9D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4.63</w:t>
            </w:r>
          </w:p>
        </w:tc>
        <w:tc>
          <w:tcPr>
            <w:tcW w:w="593" w:type="pct"/>
            <w:noWrap w:val="0"/>
            <w:vAlign w:val="center"/>
          </w:tcPr>
          <w:p w14:paraId="7F613DB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4.83</w:t>
            </w:r>
          </w:p>
        </w:tc>
        <w:tc>
          <w:tcPr>
            <w:tcW w:w="855" w:type="pct"/>
            <w:noWrap w:val="0"/>
            <w:vAlign w:val="center"/>
          </w:tcPr>
          <w:p w14:paraId="4A54FB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w:t>
            </w:r>
          </w:p>
        </w:tc>
        <w:tc>
          <w:tcPr>
            <w:tcW w:w="492" w:type="pct"/>
            <w:noWrap w:val="0"/>
            <w:vAlign w:val="center"/>
          </w:tcPr>
          <w:p w14:paraId="4F3F33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eastAsia="zh-CN"/>
              </w:rPr>
              <w:t>预期性</w:t>
            </w:r>
          </w:p>
        </w:tc>
      </w:tr>
      <w:tr w14:paraId="19A9D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392" w:type="pct"/>
            <w:vMerge w:val="continue"/>
            <w:noWrap w:val="0"/>
            <w:vAlign w:val="center"/>
          </w:tcPr>
          <w:p w14:paraId="5D84BC9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bCs/>
                <w:color w:val="auto"/>
                <w:spacing w:val="0"/>
                <w:kern w:val="0"/>
                <w:sz w:val="21"/>
                <w:szCs w:val="21"/>
                <w:highlight w:val="none"/>
                <w:u w:val="none"/>
                <w:vertAlign w:val="baseline"/>
                <w:lang w:eastAsia="zh-CN"/>
              </w:rPr>
            </w:pPr>
          </w:p>
        </w:tc>
        <w:tc>
          <w:tcPr>
            <w:tcW w:w="1033" w:type="pct"/>
            <w:vMerge w:val="continue"/>
            <w:noWrap w:val="0"/>
            <w:vAlign w:val="center"/>
          </w:tcPr>
          <w:p w14:paraId="4DB44D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eastAsia="zh-CN"/>
              </w:rPr>
            </w:pPr>
          </w:p>
        </w:tc>
        <w:tc>
          <w:tcPr>
            <w:tcW w:w="827" w:type="pct"/>
            <w:noWrap w:val="0"/>
            <w:vAlign w:val="center"/>
          </w:tcPr>
          <w:p w14:paraId="72A6B0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eastAsia="zh-CN"/>
              </w:rPr>
              <w:t>注册护士数（人）</w:t>
            </w:r>
          </w:p>
        </w:tc>
        <w:tc>
          <w:tcPr>
            <w:tcW w:w="805" w:type="pct"/>
            <w:noWrap w:val="0"/>
            <w:vAlign w:val="center"/>
          </w:tcPr>
          <w:p w14:paraId="174062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4.6</w:t>
            </w:r>
          </w:p>
        </w:tc>
        <w:tc>
          <w:tcPr>
            <w:tcW w:w="593" w:type="pct"/>
            <w:noWrap w:val="0"/>
            <w:vAlign w:val="center"/>
          </w:tcPr>
          <w:p w14:paraId="37EF5AB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5.5</w:t>
            </w:r>
          </w:p>
        </w:tc>
        <w:tc>
          <w:tcPr>
            <w:tcW w:w="855" w:type="pct"/>
            <w:noWrap w:val="0"/>
            <w:vAlign w:val="center"/>
          </w:tcPr>
          <w:p w14:paraId="2AA223C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w:t>
            </w:r>
          </w:p>
        </w:tc>
        <w:tc>
          <w:tcPr>
            <w:tcW w:w="492" w:type="pct"/>
            <w:noWrap w:val="0"/>
            <w:vAlign w:val="center"/>
          </w:tcPr>
          <w:p w14:paraId="7CFFACE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eastAsia="zh-CN"/>
              </w:rPr>
              <w:t>预期性</w:t>
            </w:r>
          </w:p>
        </w:tc>
      </w:tr>
      <w:tr w14:paraId="1D999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392" w:type="pct"/>
            <w:vMerge w:val="continue"/>
            <w:noWrap w:val="0"/>
            <w:vAlign w:val="center"/>
          </w:tcPr>
          <w:p w14:paraId="2C4E734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bCs/>
                <w:color w:val="auto"/>
                <w:spacing w:val="0"/>
                <w:kern w:val="0"/>
                <w:sz w:val="21"/>
                <w:szCs w:val="21"/>
                <w:highlight w:val="none"/>
                <w:u w:val="none"/>
                <w:vertAlign w:val="baseline"/>
                <w:lang w:eastAsia="zh-CN"/>
              </w:rPr>
            </w:pPr>
          </w:p>
        </w:tc>
        <w:tc>
          <w:tcPr>
            <w:tcW w:w="1861" w:type="pct"/>
            <w:gridSpan w:val="2"/>
            <w:noWrap w:val="0"/>
            <w:vAlign w:val="center"/>
          </w:tcPr>
          <w:p w14:paraId="6FDEE1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eastAsia="zh-CN"/>
              </w:rPr>
            </w:pPr>
            <w:r>
              <w:rPr>
                <w:rFonts w:hint="eastAsia" w:ascii="仿宋_GB2312" w:hAnsi="仿宋_GB2312" w:eastAsia="仿宋_GB2312" w:cs="仿宋_GB2312"/>
                <w:color w:val="auto"/>
                <w:spacing w:val="0"/>
                <w:w w:val="100"/>
                <w:kern w:val="0"/>
                <w:position w:val="0"/>
                <w:sz w:val="21"/>
                <w:szCs w:val="21"/>
                <w:highlight w:val="none"/>
                <w:u w:val="none"/>
                <w:lang w:val="en-US" w:eastAsia="zh-CN"/>
              </w:rPr>
              <w:t>11.养老机构护理型床位占比</w:t>
            </w:r>
            <w:r>
              <w:rPr>
                <w:rFonts w:hint="eastAsia" w:ascii="仿宋_GB2312" w:hAnsi="仿宋_GB2312" w:eastAsia="仿宋_GB2312" w:cs="仿宋_GB2312"/>
                <w:b w:val="0"/>
                <w:bCs w:val="0"/>
                <w:color w:val="auto"/>
                <w:spacing w:val="0"/>
                <w:w w:val="100"/>
                <w:kern w:val="0"/>
                <w:position w:val="0"/>
                <w:sz w:val="21"/>
                <w:szCs w:val="21"/>
                <w:highlight w:val="none"/>
                <w:u w:val="none"/>
                <w:lang w:eastAsia="zh-CN"/>
              </w:rPr>
              <w:t>（</w:t>
            </w:r>
            <w:r>
              <w:rPr>
                <w:rFonts w:hint="eastAsia" w:ascii="仿宋_GB2312" w:hAnsi="仿宋_GB2312" w:eastAsia="仿宋_GB2312" w:cs="仿宋_GB2312"/>
                <w:b w:val="0"/>
                <w:bCs w:val="0"/>
                <w:color w:val="auto"/>
                <w:spacing w:val="0"/>
                <w:w w:val="100"/>
                <w:kern w:val="0"/>
                <w:position w:val="0"/>
                <w:sz w:val="21"/>
                <w:szCs w:val="21"/>
                <w:highlight w:val="none"/>
                <w:u w:val="none"/>
              </w:rPr>
              <w:t>％</w:t>
            </w:r>
            <w:r>
              <w:rPr>
                <w:rFonts w:hint="eastAsia" w:ascii="仿宋_GB2312" w:hAnsi="仿宋_GB2312" w:eastAsia="仿宋_GB2312" w:cs="仿宋_GB2312"/>
                <w:b w:val="0"/>
                <w:bCs w:val="0"/>
                <w:color w:val="auto"/>
                <w:spacing w:val="0"/>
                <w:w w:val="100"/>
                <w:kern w:val="0"/>
                <w:position w:val="0"/>
                <w:sz w:val="21"/>
                <w:szCs w:val="21"/>
                <w:highlight w:val="none"/>
                <w:u w:val="none"/>
                <w:lang w:eastAsia="zh-CN"/>
              </w:rPr>
              <w:t>）</w:t>
            </w:r>
          </w:p>
        </w:tc>
        <w:tc>
          <w:tcPr>
            <w:tcW w:w="805" w:type="pct"/>
            <w:noWrap w:val="0"/>
            <w:vAlign w:val="center"/>
          </w:tcPr>
          <w:p w14:paraId="1B2C64D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75</w:t>
            </w:r>
          </w:p>
        </w:tc>
        <w:tc>
          <w:tcPr>
            <w:tcW w:w="593" w:type="pct"/>
            <w:noWrap w:val="0"/>
            <w:vAlign w:val="center"/>
          </w:tcPr>
          <w:p w14:paraId="3EE31E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81</w:t>
            </w:r>
          </w:p>
        </w:tc>
        <w:tc>
          <w:tcPr>
            <w:tcW w:w="855" w:type="pct"/>
            <w:noWrap w:val="0"/>
            <w:vAlign w:val="center"/>
          </w:tcPr>
          <w:p w14:paraId="3142B5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w:t>
            </w:r>
          </w:p>
        </w:tc>
        <w:tc>
          <w:tcPr>
            <w:tcW w:w="492" w:type="pct"/>
            <w:noWrap w:val="0"/>
            <w:vAlign w:val="center"/>
          </w:tcPr>
          <w:p w14:paraId="4844092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eastAsia="zh-CN"/>
              </w:rPr>
              <w:t>预期性</w:t>
            </w:r>
          </w:p>
        </w:tc>
      </w:tr>
      <w:tr w14:paraId="42BFF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392" w:type="pct"/>
            <w:vMerge w:val="continue"/>
            <w:noWrap w:val="0"/>
            <w:vAlign w:val="center"/>
          </w:tcPr>
          <w:p w14:paraId="744CA33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bCs/>
                <w:color w:val="auto"/>
                <w:spacing w:val="0"/>
                <w:kern w:val="0"/>
                <w:sz w:val="21"/>
                <w:szCs w:val="21"/>
                <w:highlight w:val="none"/>
                <w:u w:val="none"/>
                <w:vertAlign w:val="baseline"/>
                <w:lang w:eastAsia="zh-CN"/>
              </w:rPr>
            </w:pPr>
          </w:p>
        </w:tc>
        <w:tc>
          <w:tcPr>
            <w:tcW w:w="1861" w:type="pct"/>
            <w:gridSpan w:val="2"/>
            <w:noWrap w:val="0"/>
            <w:vAlign w:val="center"/>
          </w:tcPr>
          <w:p w14:paraId="711FAD6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12.三岁以下婴幼儿入托率提高（%）</w:t>
            </w:r>
          </w:p>
        </w:tc>
        <w:tc>
          <w:tcPr>
            <w:tcW w:w="1417" w:type="dxa"/>
            <w:noWrap w:val="0"/>
            <w:vAlign w:val="center"/>
          </w:tcPr>
          <w:p w14:paraId="787DB8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10.3</w:t>
            </w:r>
          </w:p>
        </w:tc>
        <w:tc>
          <w:tcPr>
            <w:tcW w:w="1044" w:type="dxa"/>
            <w:noWrap w:val="0"/>
            <w:vAlign w:val="center"/>
          </w:tcPr>
          <w:p w14:paraId="3B7E72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16.8</w:t>
            </w:r>
          </w:p>
        </w:tc>
        <w:tc>
          <w:tcPr>
            <w:tcW w:w="1505" w:type="dxa"/>
            <w:noWrap w:val="0"/>
            <w:vAlign w:val="center"/>
          </w:tcPr>
          <w:p w14:paraId="70383F0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w w:val="100"/>
                <w:kern w:val="0"/>
                <w:position w:val="0"/>
                <w:sz w:val="21"/>
                <w:szCs w:val="21"/>
                <w:highlight w:val="none"/>
                <w:u w:val="none"/>
                <w:lang w:val="en-US" w:eastAsia="zh-CN"/>
              </w:rPr>
              <w:t>[6.5]</w:t>
            </w:r>
          </w:p>
        </w:tc>
        <w:tc>
          <w:tcPr>
            <w:tcW w:w="492" w:type="pct"/>
            <w:noWrap w:val="0"/>
            <w:vAlign w:val="center"/>
          </w:tcPr>
          <w:p w14:paraId="64B23E6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eastAsia="zh-CN"/>
              </w:rPr>
              <w:t>预期性</w:t>
            </w:r>
          </w:p>
        </w:tc>
      </w:tr>
      <w:tr w14:paraId="407FA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392" w:type="pct"/>
            <w:vMerge w:val="continue"/>
            <w:noWrap w:val="0"/>
            <w:vAlign w:val="center"/>
          </w:tcPr>
          <w:p w14:paraId="45A5BC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bCs/>
                <w:color w:val="auto"/>
                <w:spacing w:val="0"/>
                <w:kern w:val="0"/>
                <w:sz w:val="21"/>
                <w:szCs w:val="21"/>
                <w:highlight w:val="none"/>
                <w:u w:val="none"/>
                <w:vertAlign w:val="baseline"/>
                <w:lang w:eastAsia="zh-CN"/>
              </w:rPr>
            </w:pPr>
          </w:p>
        </w:tc>
        <w:tc>
          <w:tcPr>
            <w:tcW w:w="1861" w:type="pct"/>
            <w:gridSpan w:val="2"/>
            <w:noWrap w:val="0"/>
            <w:vAlign w:val="center"/>
          </w:tcPr>
          <w:p w14:paraId="569BE9F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13.</w:t>
            </w:r>
            <w:r>
              <w:rPr>
                <w:rFonts w:hint="eastAsia" w:ascii="仿宋_GB2312" w:hAnsi="仿宋_GB2312" w:eastAsia="仿宋_GB2312" w:cs="仿宋_GB2312"/>
                <w:color w:val="auto"/>
                <w:spacing w:val="0"/>
                <w:w w:val="100"/>
                <w:kern w:val="0"/>
                <w:position w:val="0"/>
                <w:sz w:val="21"/>
                <w:szCs w:val="21"/>
                <w:highlight w:val="none"/>
                <w:u w:val="none"/>
              </w:rPr>
              <w:t>人均预期寿命</w:t>
            </w:r>
            <w:r>
              <w:rPr>
                <w:rFonts w:hint="eastAsia" w:ascii="仿宋_GB2312" w:hAnsi="仿宋_GB2312" w:eastAsia="仿宋_GB2312" w:cs="仿宋_GB2312"/>
                <w:color w:val="auto"/>
                <w:spacing w:val="0"/>
                <w:w w:val="100"/>
                <w:kern w:val="0"/>
                <w:position w:val="0"/>
                <w:sz w:val="21"/>
                <w:szCs w:val="21"/>
                <w:highlight w:val="none"/>
                <w:u w:val="none"/>
                <w:lang w:eastAsia="zh-CN"/>
              </w:rPr>
              <w:t>（</w:t>
            </w:r>
            <w:r>
              <w:rPr>
                <w:rFonts w:hint="eastAsia" w:ascii="仿宋_GB2312" w:hAnsi="仿宋_GB2312" w:eastAsia="仿宋_GB2312" w:cs="仿宋_GB2312"/>
                <w:color w:val="auto"/>
                <w:spacing w:val="0"/>
                <w:w w:val="100"/>
                <w:kern w:val="0"/>
                <w:position w:val="0"/>
                <w:sz w:val="21"/>
                <w:szCs w:val="21"/>
                <w:highlight w:val="none"/>
                <w:u w:val="none"/>
              </w:rPr>
              <w:t>岁</w:t>
            </w:r>
            <w:r>
              <w:rPr>
                <w:rFonts w:hint="eastAsia" w:ascii="仿宋_GB2312" w:hAnsi="仿宋_GB2312" w:eastAsia="仿宋_GB2312" w:cs="仿宋_GB2312"/>
                <w:color w:val="auto"/>
                <w:spacing w:val="0"/>
                <w:w w:val="100"/>
                <w:kern w:val="0"/>
                <w:position w:val="0"/>
                <w:sz w:val="21"/>
                <w:szCs w:val="21"/>
                <w:highlight w:val="none"/>
                <w:u w:val="none"/>
                <w:lang w:eastAsia="zh-CN"/>
              </w:rPr>
              <w:t>）</w:t>
            </w:r>
          </w:p>
        </w:tc>
        <w:tc>
          <w:tcPr>
            <w:tcW w:w="805" w:type="pct"/>
            <w:noWrap w:val="0"/>
            <w:vAlign w:val="center"/>
          </w:tcPr>
          <w:p w14:paraId="5158D88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81.15</w:t>
            </w:r>
          </w:p>
        </w:tc>
        <w:tc>
          <w:tcPr>
            <w:tcW w:w="593" w:type="pct"/>
            <w:noWrap w:val="0"/>
            <w:vAlign w:val="center"/>
          </w:tcPr>
          <w:p w14:paraId="0EE0555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81.56</w:t>
            </w:r>
          </w:p>
        </w:tc>
        <w:tc>
          <w:tcPr>
            <w:tcW w:w="855" w:type="pct"/>
            <w:noWrap w:val="0"/>
            <w:vAlign w:val="center"/>
          </w:tcPr>
          <w:p w14:paraId="209681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w:t>
            </w:r>
          </w:p>
        </w:tc>
        <w:tc>
          <w:tcPr>
            <w:tcW w:w="492" w:type="pct"/>
            <w:noWrap w:val="0"/>
            <w:vAlign w:val="center"/>
          </w:tcPr>
          <w:p w14:paraId="07EE64D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eastAsia="zh-CN"/>
              </w:rPr>
              <w:t>预期性</w:t>
            </w:r>
          </w:p>
        </w:tc>
      </w:tr>
      <w:tr w14:paraId="18E58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392" w:type="pct"/>
            <w:vMerge w:val="restart"/>
            <w:noWrap w:val="0"/>
            <w:vAlign w:val="center"/>
          </w:tcPr>
          <w:p w14:paraId="1BE851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bCs/>
                <w:color w:val="auto"/>
                <w:spacing w:val="0"/>
                <w:kern w:val="0"/>
                <w:sz w:val="21"/>
                <w:szCs w:val="21"/>
                <w:highlight w:val="none"/>
                <w:u w:val="none"/>
                <w:vertAlign w:val="baseline"/>
                <w:lang w:eastAsia="zh-CN"/>
              </w:rPr>
            </w:pPr>
            <w:r>
              <w:rPr>
                <w:rFonts w:hint="eastAsia" w:ascii="仿宋_GB2312" w:hAnsi="仿宋_GB2312" w:eastAsia="仿宋_GB2312" w:cs="仿宋_GB2312"/>
                <w:b/>
                <w:bCs/>
                <w:color w:val="auto"/>
                <w:spacing w:val="0"/>
                <w:kern w:val="0"/>
                <w:sz w:val="21"/>
                <w:szCs w:val="21"/>
                <w:highlight w:val="none"/>
                <w:u w:val="none"/>
                <w:vertAlign w:val="baseline"/>
                <w:lang w:eastAsia="zh-CN"/>
              </w:rPr>
              <w:t>绿色生态</w:t>
            </w:r>
          </w:p>
        </w:tc>
        <w:tc>
          <w:tcPr>
            <w:tcW w:w="1861" w:type="pct"/>
            <w:gridSpan w:val="2"/>
            <w:noWrap w:val="0"/>
            <w:vAlign w:val="center"/>
          </w:tcPr>
          <w:p w14:paraId="1DBFB8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14.单位GDP二氧化碳排放降低（%）</w:t>
            </w:r>
          </w:p>
        </w:tc>
        <w:tc>
          <w:tcPr>
            <w:tcW w:w="805" w:type="pct"/>
            <w:noWrap w:val="0"/>
            <w:vAlign w:val="center"/>
          </w:tcPr>
          <w:p w14:paraId="0A4F713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21.95</w:t>
            </w:r>
          </w:p>
        </w:tc>
        <w:tc>
          <w:tcPr>
            <w:tcW w:w="593" w:type="pct"/>
            <w:vMerge w:val="restart"/>
            <w:noWrap w:val="0"/>
            <w:vAlign w:val="center"/>
          </w:tcPr>
          <w:p w14:paraId="584F136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完成省分解任务</w:t>
            </w:r>
          </w:p>
        </w:tc>
        <w:tc>
          <w:tcPr>
            <w:tcW w:w="855" w:type="pct"/>
            <w:noWrap w:val="0"/>
            <w:vAlign w:val="center"/>
          </w:tcPr>
          <w:p w14:paraId="256A666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w:t>
            </w:r>
          </w:p>
        </w:tc>
        <w:tc>
          <w:tcPr>
            <w:tcW w:w="492" w:type="pct"/>
            <w:noWrap w:val="0"/>
            <w:vAlign w:val="center"/>
          </w:tcPr>
          <w:p w14:paraId="6C10C95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eastAsia="zh-CN"/>
              </w:rPr>
              <w:t>约束性</w:t>
            </w:r>
          </w:p>
        </w:tc>
      </w:tr>
      <w:tr w14:paraId="1584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392" w:type="pct"/>
            <w:vMerge w:val="continue"/>
            <w:noWrap w:val="0"/>
            <w:vAlign w:val="center"/>
          </w:tcPr>
          <w:p w14:paraId="2C8D7E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bCs/>
                <w:color w:val="auto"/>
                <w:spacing w:val="0"/>
                <w:kern w:val="0"/>
                <w:sz w:val="21"/>
                <w:szCs w:val="21"/>
                <w:highlight w:val="none"/>
                <w:u w:val="none"/>
                <w:vertAlign w:val="baseline"/>
                <w:lang w:eastAsia="zh-CN"/>
              </w:rPr>
            </w:pPr>
          </w:p>
        </w:tc>
        <w:tc>
          <w:tcPr>
            <w:tcW w:w="1861" w:type="pct"/>
            <w:gridSpan w:val="2"/>
            <w:noWrap w:val="0"/>
            <w:vAlign w:val="center"/>
          </w:tcPr>
          <w:p w14:paraId="4622E17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15.非化石能源占能源消费总量比重（%）</w:t>
            </w:r>
          </w:p>
        </w:tc>
        <w:tc>
          <w:tcPr>
            <w:tcW w:w="805" w:type="pct"/>
            <w:noWrap w:val="0"/>
            <w:vAlign w:val="center"/>
          </w:tcPr>
          <w:p w14:paraId="3E225A9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w:t>
            </w:r>
          </w:p>
        </w:tc>
        <w:tc>
          <w:tcPr>
            <w:tcW w:w="593" w:type="pct"/>
            <w:vMerge w:val="continue"/>
            <w:noWrap w:val="0"/>
            <w:vAlign w:val="center"/>
          </w:tcPr>
          <w:p w14:paraId="6DC0EB3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p>
        </w:tc>
        <w:tc>
          <w:tcPr>
            <w:tcW w:w="855" w:type="pct"/>
            <w:noWrap w:val="0"/>
            <w:vAlign w:val="center"/>
          </w:tcPr>
          <w:p w14:paraId="190A37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w:t>
            </w:r>
          </w:p>
        </w:tc>
        <w:tc>
          <w:tcPr>
            <w:tcW w:w="492" w:type="pct"/>
            <w:noWrap w:val="0"/>
            <w:vAlign w:val="center"/>
          </w:tcPr>
          <w:p w14:paraId="1986BD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eastAsia="zh-CN"/>
              </w:rPr>
              <w:t>约束性</w:t>
            </w:r>
          </w:p>
        </w:tc>
      </w:tr>
      <w:tr w14:paraId="15861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392" w:type="pct"/>
            <w:vMerge w:val="continue"/>
            <w:noWrap w:val="0"/>
            <w:vAlign w:val="center"/>
          </w:tcPr>
          <w:p w14:paraId="61F0C46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bCs/>
                <w:color w:val="auto"/>
                <w:spacing w:val="0"/>
                <w:kern w:val="0"/>
                <w:sz w:val="21"/>
                <w:szCs w:val="21"/>
                <w:highlight w:val="none"/>
                <w:u w:val="none"/>
                <w:vertAlign w:val="baseline"/>
                <w:lang w:eastAsia="zh-CN"/>
              </w:rPr>
            </w:pPr>
          </w:p>
        </w:tc>
        <w:tc>
          <w:tcPr>
            <w:tcW w:w="1861" w:type="pct"/>
            <w:gridSpan w:val="2"/>
            <w:noWrap w:val="0"/>
            <w:vAlign w:val="center"/>
          </w:tcPr>
          <w:p w14:paraId="62A9A4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16.细颗粒物（PM2.5）浓度（微克/立方米）</w:t>
            </w:r>
          </w:p>
        </w:tc>
        <w:tc>
          <w:tcPr>
            <w:tcW w:w="805" w:type="pct"/>
            <w:noWrap w:val="0"/>
            <w:vAlign w:val="center"/>
          </w:tcPr>
          <w:p w14:paraId="744A1C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42</w:t>
            </w:r>
          </w:p>
        </w:tc>
        <w:tc>
          <w:tcPr>
            <w:tcW w:w="593" w:type="pct"/>
            <w:vMerge w:val="continue"/>
            <w:noWrap w:val="0"/>
            <w:vAlign w:val="center"/>
          </w:tcPr>
          <w:p w14:paraId="578D366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p>
        </w:tc>
        <w:tc>
          <w:tcPr>
            <w:tcW w:w="855" w:type="pct"/>
            <w:noWrap w:val="0"/>
            <w:vAlign w:val="center"/>
          </w:tcPr>
          <w:p w14:paraId="7441522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w:t>
            </w:r>
          </w:p>
        </w:tc>
        <w:tc>
          <w:tcPr>
            <w:tcW w:w="492" w:type="pct"/>
            <w:noWrap w:val="0"/>
            <w:vAlign w:val="center"/>
          </w:tcPr>
          <w:p w14:paraId="4C69F5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eastAsia="zh-CN"/>
              </w:rPr>
              <w:t>约束性</w:t>
            </w:r>
          </w:p>
        </w:tc>
      </w:tr>
      <w:tr w14:paraId="751E1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392" w:type="pct"/>
            <w:vMerge w:val="continue"/>
            <w:noWrap w:val="0"/>
            <w:vAlign w:val="center"/>
          </w:tcPr>
          <w:p w14:paraId="735FF49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bCs/>
                <w:color w:val="auto"/>
                <w:spacing w:val="0"/>
                <w:kern w:val="0"/>
                <w:sz w:val="21"/>
                <w:szCs w:val="21"/>
                <w:highlight w:val="none"/>
                <w:u w:val="none"/>
                <w:vertAlign w:val="baseline"/>
                <w:lang w:eastAsia="zh-CN"/>
              </w:rPr>
            </w:pPr>
          </w:p>
        </w:tc>
        <w:tc>
          <w:tcPr>
            <w:tcW w:w="1861" w:type="pct"/>
            <w:gridSpan w:val="2"/>
            <w:noWrap w:val="0"/>
            <w:vAlign w:val="center"/>
          </w:tcPr>
          <w:p w14:paraId="40627ED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17.优良水体比例（%）</w:t>
            </w:r>
          </w:p>
        </w:tc>
        <w:tc>
          <w:tcPr>
            <w:tcW w:w="805" w:type="pct"/>
            <w:noWrap w:val="0"/>
            <w:vAlign w:val="center"/>
          </w:tcPr>
          <w:p w14:paraId="1FCE2A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100</w:t>
            </w:r>
          </w:p>
        </w:tc>
        <w:tc>
          <w:tcPr>
            <w:tcW w:w="593" w:type="pct"/>
            <w:vMerge w:val="continue"/>
            <w:noWrap w:val="0"/>
            <w:vAlign w:val="center"/>
          </w:tcPr>
          <w:p w14:paraId="57590F1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p>
        </w:tc>
        <w:tc>
          <w:tcPr>
            <w:tcW w:w="855" w:type="pct"/>
            <w:noWrap w:val="0"/>
            <w:vAlign w:val="center"/>
          </w:tcPr>
          <w:p w14:paraId="58A706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w:t>
            </w:r>
          </w:p>
        </w:tc>
        <w:tc>
          <w:tcPr>
            <w:tcW w:w="492" w:type="pct"/>
            <w:noWrap w:val="0"/>
            <w:vAlign w:val="center"/>
          </w:tcPr>
          <w:p w14:paraId="1D6D0A8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eastAsia="zh-CN"/>
              </w:rPr>
              <w:t>约束性</w:t>
            </w:r>
          </w:p>
        </w:tc>
      </w:tr>
      <w:tr w14:paraId="0B972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392" w:type="pct"/>
            <w:vMerge w:val="continue"/>
            <w:noWrap w:val="0"/>
            <w:vAlign w:val="center"/>
          </w:tcPr>
          <w:p w14:paraId="1614ECA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bCs/>
                <w:color w:val="auto"/>
                <w:spacing w:val="0"/>
                <w:kern w:val="0"/>
                <w:sz w:val="21"/>
                <w:szCs w:val="21"/>
                <w:highlight w:val="none"/>
                <w:u w:val="none"/>
                <w:vertAlign w:val="baseline"/>
                <w:lang w:eastAsia="zh-CN"/>
              </w:rPr>
            </w:pPr>
          </w:p>
        </w:tc>
        <w:tc>
          <w:tcPr>
            <w:tcW w:w="1861" w:type="pct"/>
            <w:gridSpan w:val="2"/>
            <w:noWrap w:val="0"/>
            <w:vAlign w:val="center"/>
          </w:tcPr>
          <w:p w14:paraId="19C78F2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18.森林覆盖率（%）</w:t>
            </w:r>
          </w:p>
        </w:tc>
        <w:tc>
          <w:tcPr>
            <w:tcW w:w="805" w:type="pct"/>
            <w:noWrap w:val="0"/>
            <w:vAlign w:val="center"/>
          </w:tcPr>
          <w:p w14:paraId="58649DE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w:t>
            </w:r>
          </w:p>
        </w:tc>
        <w:tc>
          <w:tcPr>
            <w:tcW w:w="593" w:type="pct"/>
            <w:vMerge w:val="continue"/>
            <w:noWrap w:val="0"/>
            <w:vAlign w:val="center"/>
          </w:tcPr>
          <w:p w14:paraId="0C2373C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p>
        </w:tc>
        <w:tc>
          <w:tcPr>
            <w:tcW w:w="855" w:type="pct"/>
            <w:noWrap w:val="0"/>
            <w:vAlign w:val="center"/>
          </w:tcPr>
          <w:p w14:paraId="62182D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w:t>
            </w:r>
          </w:p>
        </w:tc>
        <w:tc>
          <w:tcPr>
            <w:tcW w:w="492" w:type="pct"/>
            <w:noWrap w:val="0"/>
            <w:vAlign w:val="center"/>
          </w:tcPr>
          <w:p w14:paraId="5D3CDC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eastAsia="zh-CN"/>
              </w:rPr>
              <w:t>约束性</w:t>
            </w:r>
          </w:p>
        </w:tc>
      </w:tr>
      <w:tr w14:paraId="1D50C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392" w:type="pct"/>
            <w:vMerge w:val="restart"/>
            <w:noWrap w:val="0"/>
            <w:vAlign w:val="center"/>
          </w:tcPr>
          <w:p w14:paraId="56EED46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bCs/>
                <w:color w:val="auto"/>
                <w:spacing w:val="0"/>
                <w:kern w:val="0"/>
                <w:sz w:val="21"/>
                <w:szCs w:val="21"/>
                <w:highlight w:val="none"/>
                <w:u w:val="none"/>
                <w:vertAlign w:val="baseline"/>
                <w:lang w:eastAsia="zh-CN"/>
              </w:rPr>
            </w:pPr>
            <w:r>
              <w:rPr>
                <w:rFonts w:hint="eastAsia" w:ascii="仿宋_GB2312" w:hAnsi="仿宋_GB2312" w:eastAsia="仿宋_GB2312" w:cs="仿宋_GB2312"/>
                <w:b/>
                <w:bCs/>
                <w:color w:val="auto"/>
                <w:spacing w:val="0"/>
                <w:kern w:val="0"/>
                <w:sz w:val="21"/>
                <w:szCs w:val="21"/>
                <w:highlight w:val="none"/>
                <w:u w:val="none"/>
                <w:vertAlign w:val="baseline"/>
                <w:lang w:eastAsia="zh-CN"/>
              </w:rPr>
              <w:t>安全保障</w:t>
            </w:r>
          </w:p>
        </w:tc>
        <w:tc>
          <w:tcPr>
            <w:tcW w:w="1861" w:type="pct"/>
            <w:gridSpan w:val="2"/>
            <w:noWrap w:val="0"/>
            <w:vAlign w:val="center"/>
          </w:tcPr>
          <w:p w14:paraId="0BA612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19.</w:t>
            </w:r>
            <w:r>
              <w:rPr>
                <w:rFonts w:hint="eastAsia" w:ascii="仿宋_GB2312" w:hAnsi="仿宋_GB2312" w:eastAsia="仿宋_GB2312" w:cs="仿宋_GB2312"/>
                <w:color w:val="auto"/>
                <w:spacing w:val="0"/>
                <w:w w:val="100"/>
                <w:kern w:val="0"/>
                <w:position w:val="0"/>
                <w:sz w:val="21"/>
                <w:szCs w:val="21"/>
                <w:highlight w:val="none"/>
                <w:u w:val="none"/>
              </w:rPr>
              <w:t>粮食综合生产能力</w:t>
            </w:r>
            <w:r>
              <w:rPr>
                <w:rFonts w:hint="eastAsia" w:ascii="仿宋_GB2312" w:hAnsi="仿宋_GB2312" w:eastAsia="仿宋_GB2312" w:cs="仿宋_GB2312"/>
                <w:color w:val="auto"/>
                <w:spacing w:val="0"/>
                <w:w w:val="100"/>
                <w:kern w:val="0"/>
                <w:position w:val="0"/>
                <w:sz w:val="21"/>
                <w:szCs w:val="21"/>
                <w:highlight w:val="none"/>
                <w:u w:val="none"/>
                <w:lang w:eastAsia="zh-CN"/>
              </w:rPr>
              <w:t>（</w:t>
            </w:r>
            <w:r>
              <w:rPr>
                <w:rFonts w:hint="eastAsia" w:ascii="仿宋_GB2312" w:hAnsi="仿宋_GB2312" w:eastAsia="仿宋_GB2312" w:cs="仿宋_GB2312"/>
                <w:color w:val="auto"/>
                <w:spacing w:val="0"/>
                <w:w w:val="100"/>
                <w:kern w:val="0"/>
                <w:position w:val="0"/>
                <w:sz w:val="21"/>
                <w:szCs w:val="21"/>
                <w:highlight w:val="none"/>
                <w:u w:val="none"/>
                <w:lang w:val="en-US" w:eastAsia="zh-CN"/>
              </w:rPr>
              <w:t>万吨</w:t>
            </w:r>
            <w:r>
              <w:rPr>
                <w:rFonts w:hint="eastAsia" w:ascii="仿宋_GB2312" w:hAnsi="仿宋_GB2312" w:eastAsia="仿宋_GB2312" w:cs="仿宋_GB2312"/>
                <w:color w:val="auto"/>
                <w:spacing w:val="0"/>
                <w:w w:val="100"/>
                <w:kern w:val="0"/>
                <w:position w:val="0"/>
                <w:sz w:val="21"/>
                <w:szCs w:val="21"/>
                <w:highlight w:val="none"/>
                <w:u w:val="none"/>
                <w:lang w:eastAsia="zh-CN"/>
              </w:rPr>
              <w:t>）</w:t>
            </w:r>
          </w:p>
        </w:tc>
        <w:tc>
          <w:tcPr>
            <w:tcW w:w="805" w:type="pct"/>
            <w:noWrap w:val="0"/>
            <w:vAlign w:val="center"/>
          </w:tcPr>
          <w:p w14:paraId="6DE2EEA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30.67</w:t>
            </w:r>
          </w:p>
        </w:tc>
        <w:tc>
          <w:tcPr>
            <w:tcW w:w="593" w:type="pct"/>
            <w:noWrap w:val="0"/>
            <w:vAlign w:val="center"/>
          </w:tcPr>
          <w:p w14:paraId="0C0B90A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完成市里下达任务</w:t>
            </w:r>
          </w:p>
        </w:tc>
        <w:tc>
          <w:tcPr>
            <w:tcW w:w="855" w:type="pct"/>
            <w:noWrap w:val="0"/>
            <w:vAlign w:val="center"/>
          </w:tcPr>
          <w:p w14:paraId="15E77E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完成市里下达任务</w:t>
            </w:r>
          </w:p>
        </w:tc>
        <w:tc>
          <w:tcPr>
            <w:tcW w:w="492" w:type="pct"/>
            <w:noWrap w:val="0"/>
            <w:vAlign w:val="center"/>
          </w:tcPr>
          <w:p w14:paraId="24B2329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eastAsia="zh-CN"/>
              </w:rPr>
              <w:t>约束性</w:t>
            </w:r>
          </w:p>
        </w:tc>
      </w:tr>
      <w:tr w14:paraId="2CE07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392" w:type="pct"/>
            <w:vMerge w:val="continue"/>
            <w:noWrap w:val="0"/>
            <w:vAlign w:val="center"/>
          </w:tcPr>
          <w:p w14:paraId="3B10C58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bCs/>
                <w:color w:val="auto"/>
                <w:spacing w:val="0"/>
                <w:kern w:val="0"/>
                <w:sz w:val="21"/>
                <w:szCs w:val="21"/>
                <w:highlight w:val="none"/>
                <w:u w:val="none"/>
                <w:vertAlign w:val="baseline"/>
                <w:lang w:eastAsia="zh-CN"/>
              </w:rPr>
            </w:pPr>
          </w:p>
        </w:tc>
        <w:tc>
          <w:tcPr>
            <w:tcW w:w="1861" w:type="pct"/>
            <w:gridSpan w:val="2"/>
            <w:noWrap w:val="0"/>
            <w:vAlign w:val="center"/>
          </w:tcPr>
          <w:p w14:paraId="52C69C8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20.</w:t>
            </w:r>
            <w:r>
              <w:rPr>
                <w:rFonts w:hint="eastAsia" w:ascii="仿宋_GB2312" w:hAnsi="仿宋_GB2312" w:eastAsia="仿宋_GB2312" w:cs="仿宋_GB2312"/>
                <w:color w:val="auto"/>
                <w:spacing w:val="0"/>
                <w:w w:val="100"/>
                <w:kern w:val="0"/>
                <w:position w:val="0"/>
                <w:sz w:val="21"/>
                <w:szCs w:val="21"/>
                <w:highlight w:val="none"/>
                <w:u w:val="none"/>
              </w:rPr>
              <w:t>能源综合生产能力</w:t>
            </w:r>
            <w:r>
              <w:rPr>
                <w:rFonts w:hint="eastAsia" w:ascii="仿宋_GB2312" w:hAnsi="仿宋_GB2312" w:eastAsia="仿宋_GB2312" w:cs="仿宋_GB2312"/>
                <w:color w:val="auto"/>
                <w:spacing w:val="0"/>
                <w:w w:val="100"/>
                <w:kern w:val="0"/>
                <w:position w:val="0"/>
                <w:sz w:val="21"/>
                <w:szCs w:val="21"/>
                <w:highlight w:val="none"/>
                <w:u w:val="none"/>
                <w:lang w:eastAsia="zh-CN"/>
              </w:rPr>
              <w:t>（</w:t>
            </w:r>
            <w:r>
              <w:rPr>
                <w:rFonts w:hint="eastAsia" w:ascii="仿宋_GB2312" w:hAnsi="仿宋_GB2312" w:eastAsia="仿宋_GB2312" w:cs="仿宋_GB2312"/>
                <w:color w:val="auto"/>
                <w:spacing w:val="0"/>
                <w:w w:val="100"/>
                <w:kern w:val="0"/>
                <w:position w:val="0"/>
                <w:sz w:val="21"/>
                <w:szCs w:val="21"/>
                <w:highlight w:val="none"/>
                <w:u w:val="none"/>
                <w:lang w:val="en-US" w:eastAsia="zh-CN"/>
              </w:rPr>
              <w:t>万</w:t>
            </w:r>
            <w:r>
              <w:rPr>
                <w:rFonts w:hint="eastAsia" w:ascii="仿宋_GB2312" w:hAnsi="仿宋_GB2312" w:eastAsia="仿宋_GB2312" w:cs="仿宋_GB2312"/>
                <w:color w:val="auto"/>
                <w:spacing w:val="0"/>
                <w:w w:val="100"/>
                <w:kern w:val="0"/>
                <w:position w:val="0"/>
                <w:sz w:val="21"/>
                <w:szCs w:val="21"/>
                <w:highlight w:val="none"/>
                <w:u w:val="none"/>
              </w:rPr>
              <w:t>吨标准煤</w:t>
            </w:r>
            <w:r>
              <w:rPr>
                <w:rFonts w:hint="eastAsia" w:ascii="仿宋_GB2312" w:hAnsi="仿宋_GB2312" w:eastAsia="仿宋_GB2312" w:cs="仿宋_GB2312"/>
                <w:color w:val="auto"/>
                <w:spacing w:val="0"/>
                <w:w w:val="100"/>
                <w:kern w:val="0"/>
                <w:position w:val="0"/>
                <w:sz w:val="21"/>
                <w:szCs w:val="21"/>
                <w:highlight w:val="none"/>
                <w:u w:val="none"/>
                <w:lang w:eastAsia="zh-CN"/>
              </w:rPr>
              <w:t>）</w:t>
            </w:r>
          </w:p>
        </w:tc>
        <w:tc>
          <w:tcPr>
            <w:tcW w:w="805" w:type="pct"/>
            <w:noWrap w:val="0"/>
            <w:vAlign w:val="center"/>
          </w:tcPr>
          <w:p w14:paraId="2D4CFDA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72</w:t>
            </w:r>
          </w:p>
        </w:tc>
        <w:tc>
          <w:tcPr>
            <w:tcW w:w="593" w:type="pct"/>
            <w:noWrap w:val="0"/>
            <w:vAlign w:val="center"/>
          </w:tcPr>
          <w:p w14:paraId="5321656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55</w:t>
            </w:r>
          </w:p>
        </w:tc>
        <w:tc>
          <w:tcPr>
            <w:tcW w:w="855" w:type="pct"/>
            <w:noWrap w:val="0"/>
            <w:vAlign w:val="center"/>
          </w:tcPr>
          <w:p w14:paraId="08B78A0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val="en-US" w:eastAsia="zh-CN"/>
              </w:rPr>
              <w:t>—</w:t>
            </w:r>
          </w:p>
        </w:tc>
        <w:tc>
          <w:tcPr>
            <w:tcW w:w="492" w:type="pct"/>
            <w:noWrap w:val="0"/>
            <w:vAlign w:val="center"/>
          </w:tcPr>
          <w:p w14:paraId="5A0733E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_GB2312" w:hAnsi="仿宋_GB2312" w:eastAsia="仿宋_GB2312" w:cs="仿宋_GB2312"/>
                <w:b w:val="0"/>
                <w:bCs w:val="0"/>
                <w:color w:val="auto"/>
                <w:spacing w:val="0"/>
                <w:kern w:val="0"/>
                <w:sz w:val="21"/>
                <w:szCs w:val="21"/>
                <w:highlight w:val="none"/>
                <w:u w:val="none"/>
                <w:vertAlign w:val="baseline"/>
                <w:lang w:eastAsia="zh-CN"/>
              </w:rPr>
            </w:pPr>
            <w:r>
              <w:rPr>
                <w:rFonts w:hint="eastAsia" w:ascii="仿宋_GB2312" w:hAnsi="仿宋_GB2312" w:eastAsia="仿宋_GB2312" w:cs="仿宋_GB2312"/>
                <w:b w:val="0"/>
                <w:bCs w:val="0"/>
                <w:color w:val="auto"/>
                <w:spacing w:val="0"/>
                <w:kern w:val="0"/>
                <w:sz w:val="21"/>
                <w:szCs w:val="21"/>
                <w:highlight w:val="none"/>
                <w:u w:val="none"/>
                <w:vertAlign w:val="baseline"/>
                <w:lang w:eastAsia="zh-CN"/>
              </w:rPr>
              <w:t>约束性</w:t>
            </w:r>
          </w:p>
        </w:tc>
      </w:tr>
    </w:tbl>
    <w:p w14:paraId="0BBE3B59">
      <w:pPr>
        <w:pStyle w:val="5"/>
        <w:adjustRightInd w:val="0"/>
        <w:snapToGrid w:val="0"/>
        <w:spacing w:before="240" w:after="240" w:line="600" w:lineRule="exact"/>
        <w:jc w:val="both"/>
        <w:rPr>
          <w:rFonts w:hint="eastAsia" w:ascii="黑体" w:hAnsi="黑体" w:eastAsia="黑体"/>
          <w:b w:val="0"/>
          <w:bCs w:val="0"/>
          <w:color w:val="auto"/>
          <w:sz w:val="32"/>
          <w:szCs w:val="32"/>
          <w:highlight w:val="none"/>
        </w:rPr>
        <w:sectPr>
          <w:footerReference r:id="rId9" w:type="default"/>
          <w:footnotePr>
            <w:numFmt w:val="decimalEnclosedCircleChinese"/>
            <w:numRestart w:val="eachPage"/>
          </w:footnotePr>
          <w:pgSz w:w="11906" w:h="16838"/>
          <w:pgMar w:top="1984" w:right="1587" w:bottom="1701" w:left="1587" w:header="851" w:footer="1134" w:gutter="0"/>
          <w:pgNumType w:fmt="numberInDash" w:start="1"/>
          <w:cols w:space="720" w:num="1"/>
          <w:docGrid w:type="lines" w:linePitch="312" w:charSpace="0"/>
        </w:sectPr>
      </w:pPr>
    </w:p>
    <w:p w14:paraId="688299D0">
      <w:pPr>
        <w:pStyle w:val="5"/>
        <w:adjustRightInd w:val="0"/>
        <w:snapToGrid w:val="0"/>
        <w:spacing w:before="240" w:after="240" w:line="600" w:lineRule="exact"/>
        <w:jc w:val="center"/>
        <w:rPr>
          <w:rFonts w:hint="eastAsia" w:ascii="黑体" w:hAnsi="黑体" w:eastAsia="黑体"/>
          <w:b w:val="0"/>
          <w:bCs w:val="0"/>
          <w:color w:val="auto"/>
          <w:sz w:val="32"/>
          <w:szCs w:val="32"/>
          <w:highlight w:val="none"/>
        </w:rPr>
      </w:pPr>
      <w:bookmarkStart w:id="6" w:name="_Toc31976"/>
      <w:r>
        <w:rPr>
          <w:rFonts w:hint="eastAsia" w:ascii="黑体" w:hAnsi="黑体" w:eastAsia="黑体"/>
          <w:b w:val="0"/>
          <w:bCs w:val="0"/>
          <w:color w:val="auto"/>
          <w:sz w:val="32"/>
          <w:szCs w:val="32"/>
          <w:highlight w:val="none"/>
        </w:rPr>
        <w:t xml:space="preserve">第二章 </w:t>
      </w:r>
      <w:r>
        <w:rPr>
          <w:rFonts w:hint="eastAsia" w:ascii="黑体" w:hAnsi="黑体" w:eastAsia="黑体"/>
          <w:b w:val="0"/>
          <w:bCs w:val="0"/>
          <w:color w:val="auto"/>
          <w:spacing w:val="-2"/>
          <w:sz w:val="32"/>
          <w:szCs w:val="32"/>
          <w:highlight w:val="none"/>
        </w:rPr>
        <w:t>巩固壮大实体经济根基，加快构建现代化产业体系</w:t>
      </w:r>
      <w:bookmarkEnd w:id="6"/>
    </w:p>
    <w:p w14:paraId="341386C3">
      <w:pPr>
        <w:pStyle w:val="12"/>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坚定不移做大做强实体经济，瞄准智能化、绿色化、融合化方向，大力推进新型工业化，引导传统</w:t>
      </w:r>
      <w:r>
        <w:rPr>
          <w:rFonts w:hint="eastAsia" w:ascii="仿宋_GB2312" w:hAnsi="仿宋_GB2312" w:eastAsia="仿宋_GB2312" w:cs="仿宋_GB2312"/>
          <w:color w:val="auto"/>
          <w:sz w:val="32"/>
          <w:szCs w:val="32"/>
          <w:highlight w:val="none"/>
          <w:lang w:val="en-US" w:eastAsia="zh-CN"/>
        </w:rPr>
        <w:t>优势</w:t>
      </w:r>
      <w:r>
        <w:rPr>
          <w:rFonts w:hint="eastAsia" w:ascii="仿宋_GB2312" w:hAnsi="仿宋_GB2312" w:eastAsia="仿宋_GB2312" w:cs="仿宋_GB2312"/>
          <w:color w:val="auto"/>
          <w:sz w:val="32"/>
          <w:szCs w:val="32"/>
          <w:highlight w:val="none"/>
        </w:rPr>
        <w:t>产业转型升级、新兴产业培育壮大、未来产业超前布局，强化数字技术和人工智能应用，构建以先进制造业为骨干的现代化产业体系。力争到2030年，全区规上工业企业数量突破</w:t>
      </w:r>
      <w:r>
        <w:rPr>
          <w:rFonts w:hint="eastAsia" w:ascii="仿宋_GB2312" w:hAnsi="仿宋_GB2312" w:eastAsia="仿宋_GB2312" w:cs="仿宋_GB2312"/>
          <w:color w:val="auto"/>
          <w:sz w:val="32"/>
          <w:szCs w:val="32"/>
          <w:highlight w:val="none"/>
          <w:lang w:val="en-US" w:eastAsia="zh-CN"/>
        </w:rPr>
        <w:t>150</w:t>
      </w:r>
      <w:r>
        <w:rPr>
          <w:rFonts w:hint="eastAsia" w:ascii="仿宋_GB2312" w:hAnsi="仿宋_GB2312" w:eastAsia="仿宋_GB2312" w:cs="仿宋_GB2312"/>
          <w:color w:val="auto"/>
          <w:sz w:val="32"/>
          <w:szCs w:val="32"/>
          <w:highlight w:val="none"/>
        </w:rPr>
        <w:t>家，规上工业增加值增速</w:t>
      </w: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左右</w:t>
      </w:r>
      <w:r>
        <w:rPr>
          <w:rFonts w:hint="eastAsia" w:ascii="仿宋_GB2312" w:hAnsi="仿宋_GB2312" w:eastAsia="仿宋_GB2312" w:cs="仿宋_GB2312"/>
          <w:color w:val="auto"/>
          <w:sz w:val="32"/>
          <w:szCs w:val="32"/>
          <w:highlight w:val="none"/>
        </w:rPr>
        <w:t>。</w:t>
      </w:r>
    </w:p>
    <w:p w14:paraId="4A4E5A4D">
      <w:pPr>
        <w:pStyle w:val="6"/>
        <w:pageBreakBefore w:val="0"/>
        <w:widowControl w:val="0"/>
        <w:kinsoku/>
        <w:wordWrap/>
        <w:overflowPunct/>
        <w:topLinePunct w:val="0"/>
        <w:autoSpaceDE/>
        <w:autoSpaceDN/>
        <w:bidi w:val="0"/>
        <w:adjustRightInd w:val="0"/>
        <w:snapToGrid w:val="0"/>
        <w:textAlignment w:val="auto"/>
        <w:rPr>
          <w:color w:val="auto"/>
          <w:highlight w:val="none"/>
        </w:rPr>
      </w:pPr>
      <w:bookmarkStart w:id="7" w:name="_Toc9901"/>
      <w:r>
        <w:rPr>
          <w:rFonts w:hint="eastAsia"/>
          <w:color w:val="auto"/>
          <w:highlight w:val="none"/>
        </w:rPr>
        <w:t>第一节 塑强“锂机材纺纸”优势产业</w:t>
      </w:r>
      <w:bookmarkEnd w:id="7"/>
    </w:p>
    <w:p w14:paraId="77814B87">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Times New Roman" w:eastAsia="仿宋_GB2312"/>
          <w:color w:val="auto"/>
          <w:sz w:val="32"/>
          <w:szCs w:val="32"/>
          <w:highlight w:val="none"/>
        </w:rPr>
      </w:pPr>
      <w:r>
        <w:rPr>
          <w:rFonts w:hint="eastAsia" w:ascii="仿宋_GB2312" w:hAnsi="仿宋_GB2312" w:eastAsia="仿宋_GB2312" w:cs="仿宋_GB2312"/>
          <w:b/>
          <w:color w:val="auto"/>
          <w:sz w:val="32"/>
          <w:szCs w:val="32"/>
          <w:highlight w:val="none"/>
        </w:rPr>
        <w:t>锂电</w:t>
      </w:r>
      <w:r>
        <w:rPr>
          <w:rFonts w:hint="eastAsia" w:ascii="仿宋_GB2312" w:hAnsi="仿宋_GB2312" w:eastAsia="仿宋_GB2312" w:cs="仿宋_GB2312"/>
          <w:b/>
          <w:color w:val="auto"/>
          <w:sz w:val="32"/>
          <w:szCs w:val="32"/>
          <w:highlight w:val="none"/>
          <w:lang w:val="en-US" w:eastAsia="zh-CN"/>
        </w:rPr>
        <w:t>和</w:t>
      </w:r>
      <w:r>
        <w:rPr>
          <w:rFonts w:hint="eastAsia" w:ascii="仿宋_GB2312" w:hAnsi="仿宋_GB2312" w:eastAsia="仿宋_GB2312" w:cs="仿宋_GB2312"/>
          <w:b/>
          <w:color w:val="auto"/>
          <w:sz w:val="32"/>
          <w:szCs w:val="32"/>
          <w:highlight w:val="none"/>
        </w:rPr>
        <w:t>新能源产业。</w:t>
      </w:r>
      <w:r>
        <w:rPr>
          <w:rFonts w:hint="eastAsia" w:ascii="仿宋_GB2312" w:hAnsi="Times New Roman" w:eastAsia="仿宋_GB2312"/>
          <w:color w:val="auto"/>
          <w:sz w:val="32"/>
          <w:szCs w:val="32"/>
          <w:highlight w:val="none"/>
          <w:lang w:val="en-US" w:eastAsia="zh-CN"/>
        </w:rPr>
        <w:t>坚定实施锂电产业首位度战略，以锂电材料为核心，加速构建“电池材料–电池PACK–终端应用–材料回收”的锂电产业链条。全力推动5GWh高倍率锂电池、5万吨锰酸锂等项目按期投产，提升产业链协同水平和效率。加大电极材料、隔膜、拆解回收及消费端锂电产品（包括无人机、电动工具等消费电池品类）招商引资力度，吸引产业链相关企业入园。顺应动力电池高能量密度、快速充放电、低温适应性等技术趋势，支持企业创新升级，积极开发或引进下一代正极材料、新型负极材料、固态电解质、新型导电剂等领域优质项目。大力发展新型储能电池，合理规划建设新型储能设施，创新“人工智能+新型储能”应用场景，拓展新型储能发展空间。前瞻部署固态、半固态电池产业链，并加快布局钠离子电池等新赛道，抢占行业制高点。健全动力电池回收产业链，鼓励企业开展磷酸铁锂和三元锂电池的电动汽车废旧动力电池回收业务，建设绿色供应链示范项目。与上下游企业建立深度合作关系，确保原材料供应的保障性和价格稳定性。到2030年，锂电及新能源产业营收突破100亿元，打造全国领先的锂电材料生产基地</w:t>
      </w:r>
      <w:r>
        <w:rPr>
          <w:rFonts w:ascii="仿宋_GB2312" w:hAnsi="Times New Roman" w:eastAsia="仿宋_GB2312"/>
          <w:color w:val="auto"/>
          <w:sz w:val="32"/>
          <w:szCs w:val="32"/>
          <w:highlight w:val="none"/>
        </w:rPr>
        <w:t>。</w:t>
      </w:r>
    </w:p>
    <w:p w14:paraId="45DAB8C8">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lang w:val="en-US" w:eastAsia="zh-CN"/>
        </w:rPr>
        <w:t>机械和</w:t>
      </w:r>
      <w:r>
        <w:rPr>
          <w:rFonts w:hint="eastAsia" w:ascii="仿宋_GB2312" w:hAnsi="仿宋_GB2312" w:eastAsia="仿宋_GB2312" w:cs="仿宋_GB2312"/>
          <w:b/>
          <w:color w:val="auto"/>
          <w:sz w:val="32"/>
          <w:szCs w:val="32"/>
          <w:highlight w:val="none"/>
        </w:rPr>
        <w:t>高端装备</w:t>
      </w:r>
      <w:r>
        <w:rPr>
          <w:rFonts w:ascii="仿宋_GB2312" w:hAnsi="仿宋_GB2312" w:eastAsia="仿宋_GB2312" w:cs="仿宋_GB2312"/>
          <w:b/>
          <w:color w:val="auto"/>
          <w:sz w:val="32"/>
          <w:szCs w:val="32"/>
          <w:highlight w:val="none"/>
        </w:rPr>
        <w:t>产业。</w:t>
      </w:r>
      <w:r>
        <w:rPr>
          <w:rFonts w:hint="eastAsia" w:ascii="仿宋_GB2312" w:hAnsi="仿宋_GB2312" w:eastAsia="仿宋_GB2312" w:cs="仿宋_GB2312"/>
          <w:b w:val="0"/>
          <w:bCs/>
          <w:color w:val="auto"/>
          <w:sz w:val="32"/>
          <w:szCs w:val="32"/>
          <w:highlight w:val="none"/>
        </w:rPr>
        <w:t>聚焦矿山机械、精密铸造、汽车配件、内河船舶等重点领域，积极推进矿山破碎机及资源综合利用成套装备、高端新型机械设备结构件、商用车制动器试验检测中心、奥氏体不锈钢等项目建设，围绕整车、矿山机械等行业加快培育上下游产业链条。加快释放20万吨铸造产能，鼓励企业向普通铸造与精密铸造并重、单一铸件与成套设备生产并重转型，发展智能化破碎机、筛分机及资源综合利用成套矿山机械装备，围绕汽车、机床、机电等行业，打造绿色、高端构件生产基地。培育工程机械、环保设备等细分领域特色发展优势，发挥南向“桥头堡”区位优势，积极融入以徐工集团为链主的高端装备产业链。到2030年，高端装备产业营收突破25亿元</w:t>
      </w:r>
      <w:r>
        <w:rPr>
          <w:rFonts w:ascii="仿宋_GB2312" w:hAnsi="Times New Roman" w:eastAsia="仿宋_GB2312"/>
          <w:color w:val="auto"/>
          <w:sz w:val="32"/>
          <w:szCs w:val="32"/>
          <w:highlight w:val="none"/>
        </w:rPr>
        <w:t>。</w:t>
      </w:r>
    </w:p>
    <w:p w14:paraId="49D1ADFE">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ascii="仿宋_GB2312" w:hAnsi="Times New Roman" w:eastAsia="仿宋_GB2312"/>
          <w:color w:val="auto"/>
          <w:sz w:val="32"/>
          <w:szCs w:val="32"/>
          <w:highlight w:val="none"/>
        </w:rPr>
      </w:pPr>
      <w:r>
        <w:rPr>
          <w:rFonts w:hint="eastAsia" w:ascii="仿宋_GB2312" w:hAnsi="仿宋_GB2312" w:eastAsia="仿宋_GB2312" w:cs="仿宋_GB2312"/>
          <w:b/>
          <w:color w:val="auto"/>
          <w:sz w:val="32"/>
          <w:szCs w:val="32"/>
          <w:highlight w:val="none"/>
          <w:lang w:val="en-US" w:eastAsia="zh-CN"/>
        </w:rPr>
        <w:t>绿色建材</w:t>
      </w:r>
      <w:r>
        <w:rPr>
          <w:rFonts w:hint="eastAsia" w:ascii="仿宋_GB2312" w:hAnsi="仿宋_GB2312" w:eastAsia="仿宋_GB2312" w:cs="仿宋_GB2312"/>
          <w:b/>
          <w:color w:val="auto"/>
          <w:sz w:val="32"/>
          <w:szCs w:val="32"/>
          <w:highlight w:val="none"/>
        </w:rPr>
        <w:t>产业</w:t>
      </w:r>
      <w:r>
        <w:rPr>
          <w:rFonts w:ascii="仿宋_GB2312" w:hAnsi="仿宋_GB2312" w:eastAsia="仿宋_GB2312" w:cs="仿宋_GB2312"/>
          <w:b/>
          <w:color w:val="auto"/>
          <w:sz w:val="32"/>
          <w:szCs w:val="32"/>
          <w:highlight w:val="none"/>
        </w:rPr>
        <w:t>。</w:t>
      </w:r>
      <w:r>
        <w:rPr>
          <w:rFonts w:hint="eastAsia" w:ascii="仿宋_GB2312" w:hAnsi="仿宋_GB2312" w:eastAsia="仿宋_GB2312" w:cs="仿宋_GB2312"/>
          <w:b w:val="0"/>
          <w:bCs/>
          <w:color w:val="auto"/>
          <w:sz w:val="32"/>
          <w:szCs w:val="32"/>
          <w:highlight w:val="none"/>
        </w:rPr>
        <w:t>顺应消费升级趋势和新兴产业发展需求，在绿色建材领域加快新技术、新工艺和新产品的研究开发与推广应用。深挖石灰石资源优势，加快实施钙基纳米新材料项目，深化与中科院、华东理工大学等合作，积极延伸医药、食品等领域应用，实现年产30万吨钙基纳米新材料产能，建设国内领先的钙基纳米新材料生产基地。推动绿色建材转型发展，瞄准基础建材、装配式建材、新型建材等重点领域，加快绿色建材推广应用，促进建材工业绿色化转型，打造绿色低碳、竞争力强的建材产业新标杆。依托临港工业园及京杭大运河水运优势，推动绿色建材产业集聚发展。到2030年，绿色建材产业营收突破25亿元</w:t>
      </w:r>
      <w:r>
        <w:rPr>
          <w:rFonts w:ascii="仿宋_GB2312" w:hAnsi="Times New Roman" w:eastAsia="仿宋_GB2312"/>
          <w:color w:val="auto"/>
          <w:sz w:val="32"/>
          <w:szCs w:val="32"/>
          <w:highlight w:val="none"/>
        </w:rPr>
        <w:t>。</w:t>
      </w:r>
    </w:p>
    <w:p w14:paraId="40FD1556">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Times New Roman" w:eastAsia="仿宋_GB2312"/>
          <w:color w:val="auto"/>
          <w:sz w:val="32"/>
          <w:szCs w:val="32"/>
          <w:highlight w:val="none"/>
        </w:rPr>
      </w:pPr>
      <w:r>
        <w:rPr>
          <w:rFonts w:hint="eastAsia" w:ascii="仿宋_GB2312" w:hAnsi="仿宋_GB2312" w:eastAsia="仿宋_GB2312" w:cs="仿宋_GB2312"/>
          <w:b/>
          <w:color w:val="auto"/>
          <w:sz w:val="32"/>
          <w:szCs w:val="32"/>
          <w:highlight w:val="none"/>
        </w:rPr>
        <w:t>纺织</w:t>
      </w:r>
      <w:r>
        <w:rPr>
          <w:rFonts w:ascii="仿宋_GB2312" w:hAnsi="仿宋_GB2312" w:eastAsia="仿宋_GB2312" w:cs="仿宋_GB2312"/>
          <w:b/>
          <w:color w:val="auto"/>
          <w:sz w:val="32"/>
          <w:szCs w:val="32"/>
          <w:highlight w:val="none"/>
        </w:rPr>
        <w:t>服装产业。</w:t>
      </w:r>
      <w:r>
        <w:rPr>
          <w:rFonts w:hint="eastAsia" w:ascii="仿宋_GB2312" w:hAnsi="仿宋_GB2312" w:eastAsia="仿宋_GB2312" w:cs="仿宋_GB2312"/>
          <w:b w:val="0"/>
          <w:bCs/>
          <w:color w:val="auto"/>
          <w:sz w:val="32"/>
          <w:szCs w:val="32"/>
          <w:highlight w:val="none"/>
        </w:rPr>
        <w:t>推动科技化、时尚化、绿色化转型，完善纺</w:t>
      </w:r>
      <w:r>
        <w:rPr>
          <w:rFonts w:hint="eastAsia" w:ascii="仿宋_GB2312" w:hAnsi="仿宋_GB2312" w:eastAsia="仿宋_GB2312" w:cs="仿宋_GB2312"/>
          <w:b w:val="0"/>
          <w:bCs/>
          <w:color w:val="auto"/>
          <w:sz w:val="32"/>
          <w:szCs w:val="32"/>
          <w:highlight w:val="none"/>
          <w:lang w:val="en-US" w:eastAsia="zh-CN"/>
        </w:rPr>
        <w:t>–</w:t>
      </w:r>
      <w:r>
        <w:rPr>
          <w:rFonts w:hint="eastAsia" w:ascii="仿宋_GB2312" w:hAnsi="仿宋_GB2312" w:eastAsia="仿宋_GB2312" w:cs="仿宋_GB2312"/>
          <w:b w:val="0"/>
          <w:bCs/>
          <w:color w:val="auto"/>
          <w:sz w:val="32"/>
          <w:szCs w:val="32"/>
          <w:highlight w:val="none"/>
        </w:rPr>
        <w:t>织</w:t>
      </w:r>
      <w:r>
        <w:rPr>
          <w:rFonts w:hint="eastAsia" w:ascii="仿宋_GB2312" w:hAnsi="仿宋_GB2312" w:eastAsia="仿宋_GB2312" w:cs="仿宋_GB2312"/>
          <w:b w:val="0"/>
          <w:bCs/>
          <w:color w:val="auto"/>
          <w:sz w:val="32"/>
          <w:szCs w:val="32"/>
          <w:highlight w:val="none"/>
          <w:lang w:val="en-US" w:eastAsia="zh-CN"/>
        </w:rPr>
        <w:t>–</w:t>
      </w:r>
      <w:r>
        <w:rPr>
          <w:rFonts w:hint="eastAsia" w:ascii="仿宋_GB2312" w:hAnsi="仿宋_GB2312" w:eastAsia="仿宋_GB2312" w:cs="仿宋_GB2312"/>
          <w:b w:val="0"/>
          <w:bCs/>
          <w:color w:val="auto"/>
          <w:sz w:val="32"/>
          <w:szCs w:val="32"/>
          <w:highlight w:val="none"/>
        </w:rPr>
        <w:t>染</w:t>
      </w:r>
      <w:r>
        <w:rPr>
          <w:rFonts w:hint="eastAsia" w:ascii="仿宋_GB2312" w:hAnsi="仿宋_GB2312" w:eastAsia="仿宋_GB2312" w:cs="仿宋_GB2312"/>
          <w:b w:val="0"/>
          <w:bCs/>
          <w:color w:val="auto"/>
          <w:sz w:val="32"/>
          <w:szCs w:val="32"/>
          <w:highlight w:val="none"/>
          <w:lang w:val="en-US" w:eastAsia="zh-CN"/>
        </w:rPr>
        <w:t>–</w:t>
      </w:r>
      <w:r>
        <w:rPr>
          <w:rFonts w:hint="eastAsia" w:ascii="仿宋_GB2312" w:hAnsi="仿宋_GB2312" w:eastAsia="仿宋_GB2312" w:cs="仿宋_GB2312"/>
          <w:b w:val="0"/>
          <w:bCs/>
          <w:color w:val="auto"/>
          <w:sz w:val="32"/>
          <w:szCs w:val="32"/>
          <w:highlight w:val="none"/>
        </w:rPr>
        <w:t>成衣加工全工艺流程，培育打造集纺纱、织布、印染、成衣加工为一体的纺织服装集群。支持重点骨干纺织服装企业加快实施技术改造，以市场为导向，鼓励研发科技含量高、附加值高的产品，大力发展以高性能纤维等先进纤维为基础的高端产品、新型纤维材料、高端纺织制造、智能绿色印染、时尚家纺服装、高端产业用纺织品等，扩大中高档产品供给，满足消费升级需求。推进纺织产业与其他产业融合发展，大力拓展新型产业业态与产品种类。科学应对外部环境变化，千方百计拓宽国内、国际两个市场，确保出口保持合理规模，实现生产经营质效向好。到2030年，纺织服装产业营收突破16亿元</w:t>
      </w:r>
      <w:r>
        <w:rPr>
          <w:rFonts w:ascii="仿宋_GB2312" w:hAnsi="Times New Roman" w:eastAsia="仿宋_GB2312"/>
          <w:color w:val="auto"/>
          <w:sz w:val="32"/>
          <w:szCs w:val="32"/>
          <w:highlight w:val="none"/>
        </w:rPr>
        <w:t>。</w:t>
      </w:r>
    </w:p>
    <w:p w14:paraId="7E7BC8A3">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Times New Roman" w:eastAsia="仿宋_GB2312"/>
          <w:color w:val="auto"/>
          <w:sz w:val="32"/>
          <w:szCs w:val="32"/>
          <w:highlight w:val="none"/>
        </w:rPr>
      </w:pPr>
      <w:r>
        <w:rPr>
          <w:rFonts w:hint="eastAsia" w:ascii="仿宋_GB2312" w:hAnsi="仿宋_GB2312" w:eastAsia="仿宋_GB2312" w:cs="仿宋_GB2312"/>
          <w:b/>
          <w:color w:val="auto"/>
          <w:sz w:val="32"/>
          <w:szCs w:val="32"/>
          <w:highlight w:val="none"/>
        </w:rPr>
        <w:t>生态</w:t>
      </w:r>
      <w:r>
        <w:rPr>
          <w:rFonts w:ascii="仿宋_GB2312" w:hAnsi="仿宋_GB2312" w:eastAsia="仿宋_GB2312" w:cs="仿宋_GB2312"/>
          <w:b/>
          <w:color w:val="auto"/>
          <w:sz w:val="32"/>
          <w:szCs w:val="32"/>
          <w:highlight w:val="none"/>
        </w:rPr>
        <w:t>造纸产业。</w:t>
      </w:r>
      <w:r>
        <w:rPr>
          <w:rFonts w:hint="eastAsia" w:ascii="仿宋_GB2312" w:hAnsi="仿宋_GB2312" w:eastAsia="仿宋_GB2312" w:cs="仿宋_GB2312"/>
          <w:b w:val="0"/>
          <w:bCs/>
          <w:color w:val="auto"/>
          <w:sz w:val="32"/>
          <w:szCs w:val="32"/>
          <w:highlight w:val="none"/>
        </w:rPr>
        <w:t>推动造纸、纸制品加工与终端应用纵向协同，构建资源集约、循环高效的闭环产业生态，推进传统造纸企业向生物质综合利用转型。高标准建设生态造纸产业集聚区，强化台儿庄造纸产业整体竞争力。保障装饰、包装、过滤等基础用纸稳定供应，积极发展特种纸、功能型纸板等高端产品，重点拓展高端装饰纸、特种羊皮纸等产品规模，推动造纸业上下游全产业链一体化发展，构建高中低纸制品全覆盖发展格局，形成多层次、全品类产品供给体系。加快布局生物质精炼技术平台，推动秸秆、淀粉等资源高值化利用，研发面向环保材料、康养制品等领域的精炼衍生品。加强绿色产品开发，推动碳足迹可量化、可追溯，树立绿色品牌形象，提升台儿庄造纸产业竞争优势。到2030年，生态造纸产业营收突破40亿元</w:t>
      </w:r>
      <w:r>
        <w:rPr>
          <w:rFonts w:ascii="仿宋_GB2312" w:hAnsi="Times New Roman" w:eastAsia="仿宋_GB2312"/>
          <w:color w:val="auto"/>
          <w:sz w:val="32"/>
          <w:szCs w:val="32"/>
          <w:highlight w:val="none"/>
        </w:rPr>
        <w:t>。</w:t>
      </w:r>
    </w:p>
    <w:p w14:paraId="5716E428">
      <w:pPr>
        <w:pStyle w:val="6"/>
        <w:pageBreakBefore w:val="0"/>
        <w:widowControl w:val="0"/>
        <w:kinsoku/>
        <w:wordWrap/>
        <w:overflowPunct/>
        <w:topLinePunct w:val="0"/>
        <w:autoSpaceDE/>
        <w:autoSpaceDN/>
        <w:bidi w:val="0"/>
        <w:adjustRightInd w:val="0"/>
        <w:snapToGrid w:val="0"/>
        <w:textAlignment w:val="auto"/>
        <w:rPr>
          <w:rFonts w:hint="eastAsia"/>
          <w:color w:val="auto"/>
          <w:highlight w:val="none"/>
        </w:rPr>
      </w:pPr>
      <w:bookmarkStart w:id="8" w:name="_Toc27917"/>
      <w:r>
        <w:rPr>
          <w:rFonts w:hint="eastAsia"/>
          <w:color w:val="auto"/>
          <w:highlight w:val="none"/>
        </w:rPr>
        <w:t>第二节 培育壮大新兴产业和未来产业</w:t>
      </w:r>
      <w:bookmarkEnd w:id="8"/>
    </w:p>
    <w:p w14:paraId="3A60B14F">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ascii="仿宋_GB2312" w:hAnsi="仿宋_GB2312" w:eastAsia="仿宋_GB2312" w:cs="仿宋_GB2312"/>
          <w:color w:val="auto"/>
          <w:sz w:val="32"/>
          <w:szCs w:val="32"/>
          <w:highlight w:val="none"/>
        </w:rPr>
      </w:pPr>
      <w:r>
        <w:rPr>
          <w:rFonts w:hint="eastAsia" w:ascii="仿宋_GB2312" w:hAnsi="Times New Roman" w:eastAsia="仿宋_GB2312"/>
          <w:b/>
          <w:bCs/>
          <w:color w:val="auto"/>
          <w:sz w:val="32"/>
          <w:szCs w:val="32"/>
          <w:highlight w:val="none"/>
        </w:rPr>
        <w:t>绿色智能船舶</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立足马兰屯作业区，紧盯“电化运河”发展风口，聚焦醇氢动力等差异化技术路线，系统布局绿色智能船舶产业。积极招引内河船舶关键零部件与整船制造企业，推动与本地锂电、机械加工、装备制造等产业深度融合，提升近地化配套协作能力，打造“中国北方甲醇新能源船舶制造基地”。面向工程船舶、公务船艇、水路旅游观光船等多类应用场景，开展产品系列化开发，通过与头部航运企业合作运营示范航线，加速技术迭代与市场应用，推动商业化推广进程，形成具有竞争力的绿色船舶产业集群，为区域航运低碳转型与高质量发展注入新动能。</w:t>
      </w:r>
    </w:p>
    <w:p w14:paraId="1D84C65C">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低空经济</w:t>
      </w:r>
      <w:r>
        <w:rPr>
          <w:rFonts w:ascii="仿宋_GB2312" w:hAnsi="仿宋_GB2312" w:eastAsia="仿宋_GB2312" w:cs="仿宋_GB2312"/>
          <w:b/>
          <w:color w:val="auto"/>
          <w:sz w:val="32"/>
          <w:szCs w:val="32"/>
          <w:highlight w:val="none"/>
        </w:rPr>
        <w:t>。</w:t>
      </w:r>
      <w:r>
        <w:rPr>
          <w:rFonts w:hint="eastAsia" w:ascii="仿宋_GB2312" w:hAnsi="仿宋_GB2312" w:eastAsia="仿宋_GB2312" w:cs="仿宋_GB2312"/>
          <w:color w:val="auto"/>
          <w:sz w:val="32"/>
          <w:szCs w:val="32"/>
          <w:highlight w:val="none"/>
        </w:rPr>
        <w:t>抢抓低空空域改革、密集创新和规模应用发展机遇，对接省市低空经济布局，打造以台儿庄通用机场为核心、低空保障为支撑、低空服务为特色的低空经济发展格局。推进台儿庄通用机场建设，积极与军方及民航管理部门进行协调对接，规划试飞区和起降点，健全完善通信、导航、气象、监测等低空智能网络。有序发展低空旅游，开展飞行培训、飞行体验、航空科普、空中拍照、无人机作业、航空赛事表演等活动，开发具有吸引力的低空旅游线路，积极发展“低空+”，推动低空经济与救援、农业、运动、培训等融合发展。</w:t>
      </w:r>
    </w:p>
    <w:p w14:paraId="233F7D4F">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eastAsia="仿宋_GB2312"/>
          <w:color w:val="auto"/>
          <w:sz w:val="32"/>
          <w:szCs w:val="32"/>
          <w:highlight w:val="none"/>
        </w:rPr>
      </w:pPr>
      <w:r>
        <w:rPr>
          <w:rFonts w:hint="eastAsia" w:ascii="仿宋_GB2312" w:hAnsi="仿宋_GB2312" w:eastAsia="仿宋_GB2312" w:cs="仿宋_GB2312"/>
          <w:b/>
          <w:color w:val="auto"/>
          <w:sz w:val="32"/>
          <w:szCs w:val="32"/>
          <w:highlight w:val="none"/>
        </w:rPr>
        <w:t>未来</w:t>
      </w:r>
      <w:r>
        <w:rPr>
          <w:rFonts w:ascii="仿宋_GB2312" w:hAnsi="仿宋_GB2312" w:eastAsia="仿宋_GB2312" w:cs="仿宋_GB2312"/>
          <w:b/>
          <w:color w:val="auto"/>
          <w:sz w:val="32"/>
          <w:szCs w:val="32"/>
          <w:highlight w:val="none"/>
        </w:rPr>
        <w:t>产业。</w:t>
      </w:r>
      <w:r>
        <w:rPr>
          <w:rFonts w:hint="eastAsia" w:ascii="仿宋_GB2312" w:eastAsia="仿宋_GB2312"/>
          <w:color w:val="auto"/>
          <w:sz w:val="32"/>
          <w:szCs w:val="32"/>
          <w:highlight w:val="none"/>
        </w:rPr>
        <w:t>实施未来产业创新突破行动，探索推广未来技术应用场景，探索多元技术路线、典型应用场景、可行商业模式。未来能源，积极对接先进储能电池、绿色氢能</w:t>
      </w:r>
      <w:r>
        <w:rPr>
          <w:rFonts w:hint="eastAsia" w:ascii="仿宋_GB2312" w:eastAsia="仿宋_GB2312"/>
          <w:color w:val="auto"/>
          <w:sz w:val="32"/>
          <w:szCs w:val="32"/>
          <w:highlight w:val="none"/>
          <w:lang w:val="en-US" w:eastAsia="zh-CN"/>
        </w:rPr>
        <w:t>装备</w:t>
      </w:r>
      <w:r>
        <w:rPr>
          <w:rFonts w:hint="eastAsia" w:ascii="仿宋_GB2312" w:eastAsia="仿宋_GB2312"/>
          <w:color w:val="auto"/>
          <w:sz w:val="32"/>
          <w:szCs w:val="32"/>
          <w:highlight w:val="none"/>
        </w:rPr>
        <w:t>等制造产业，探索培育智慧微网、源网荷储一体化、虚拟电厂等新业态。</w:t>
      </w:r>
      <w:r>
        <w:rPr>
          <w:rFonts w:hint="eastAsia" w:ascii="Times New Roman" w:hAnsi="Times New Roman" w:eastAsia="仿宋_GB2312" w:cs="Times New Roman"/>
          <w:color w:val="auto"/>
          <w:sz w:val="32"/>
          <w:szCs w:val="32"/>
          <w:highlight w:val="none"/>
          <w:lang w:val="en-US" w:eastAsia="zh-CN"/>
        </w:rPr>
        <w:t>未来材料及制造，依托玉米淀粉等传统特色产业，聚焦可降解材料、环保制品等领域，开展新产品研发生产，培育壮大台儿庄生物基材料产业</w:t>
      </w:r>
      <w:r>
        <w:rPr>
          <w:rFonts w:hint="eastAsia" w:ascii="仿宋_GB2312" w:hAnsi="仿宋_GB2312" w:eastAsia="仿宋_GB2312" w:cs="仿宋_GB2312"/>
          <w:color w:val="auto"/>
          <w:sz w:val="32"/>
          <w:szCs w:val="32"/>
          <w:highlight w:val="none"/>
          <w:lang w:val="en-US" w:eastAsia="zh-CN"/>
        </w:rPr>
        <w:t>。</w:t>
      </w:r>
      <w:r>
        <w:rPr>
          <w:rFonts w:hint="eastAsia" w:ascii="仿宋_GB2312" w:eastAsia="仿宋_GB2312"/>
          <w:color w:val="auto"/>
          <w:sz w:val="32"/>
          <w:szCs w:val="32"/>
          <w:highlight w:val="none"/>
        </w:rPr>
        <w:t>推动材料、装备、制造体系循环迭代创新，推广柔性制造、共享制造等模式，培育服务机器人、人形机器人产业</w:t>
      </w:r>
      <w:r>
        <w:rPr>
          <w:rFonts w:ascii="仿宋_GB2312" w:hAnsi="仿宋_GB2312" w:eastAsia="仿宋_GB2312" w:cs="仿宋_GB2312"/>
          <w:color w:val="auto"/>
          <w:sz w:val="32"/>
          <w:szCs w:val="32"/>
          <w:highlight w:val="none"/>
        </w:rPr>
        <w:t>。</w:t>
      </w:r>
      <w:r>
        <w:rPr>
          <w:rFonts w:hint="eastAsia" w:ascii="仿宋_GB2312" w:eastAsia="仿宋_GB2312"/>
          <w:color w:val="auto"/>
          <w:sz w:val="32"/>
          <w:szCs w:val="32"/>
          <w:highlight w:val="none"/>
        </w:rPr>
        <w:t>未来信息，面向工业元宇宙，积极布局量子信息、第六代移动通信、元宇宙</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算力</w:t>
      </w:r>
      <w:r>
        <w:rPr>
          <w:rFonts w:hint="eastAsia" w:ascii="仿宋_GB2312" w:eastAsia="仿宋_GB2312"/>
          <w:color w:val="auto"/>
          <w:sz w:val="32"/>
          <w:szCs w:val="32"/>
          <w:highlight w:val="none"/>
        </w:rPr>
        <w:t>等产业。</w:t>
      </w:r>
    </w:p>
    <w:p w14:paraId="097AA035">
      <w:pPr>
        <w:pStyle w:val="12"/>
        <w:adjustRightInd w:val="0"/>
        <w:snapToGrid w:val="0"/>
        <w:spacing w:line="600" w:lineRule="exact"/>
        <w:ind w:firstLine="640" w:firstLineChars="200"/>
        <w:rPr>
          <w:rFonts w:hint="eastAsia" w:ascii="仿宋_GB2312" w:eastAsia="仿宋_GB2312"/>
          <w:color w:val="auto"/>
          <w:sz w:val="32"/>
          <w:szCs w:val="32"/>
          <w:highlight w:val="none"/>
        </w:rPr>
      </w:pPr>
    </w:p>
    <w:p w14:paraId="5B8E1482">
      <w:pPr>
        <w:pStyle w:val="12"/>
        <w:adjustRightInd w:val="0"/>
        <w:snapToGrid w:val="0"/>
        <w:spacing w:line="600" w:lineRule="exact"/>
        <w:ind w:firstLine="640" w:firstLineChars="200"/>
        <w:rPr>
          <w:rFonts w:hint="eastAsia" w:ascii="仿宋_GB2312" w:eastAsia="仿宋_GB2312"/>
          <w:color w:val="auto"/>
          <w:sz w:val="32"/>
          <w:szCs w:val="32"/>
          <w:highlight w:val="none"/>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0DBFD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296" w:type="dxa"/>
            <w:noWrap w:val="0"/>
            <w:vAlign w:val="center"/>
          </w:tcPr>
          <w:p w14:paraId="0B540EB9">
            <w:pPr>
              <w:jc w:val="center"/>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专栏1：</w:t>
            </w:r>
            <w:r>
              <w:rPr>
                <w:rFonts w:hint="eastAsia" w:ascii="黑体" w:hAnsi="黑体" w:eastAsia="黑体" w:cs="宋体"/>
                <w:bCs/>
                <w:color w:val="auto"/>
                <w:sz w:val="28"/>
                <w:szCs w:val="28"/>
                <w:highlight w:val="none"/>
                <w:lang w:val="en-US" w:eastAsia="zh-CN"/>
              </w:rPr>
              <w:t>产</w:t>
            </w:r>
            <w:r>
              <w:rPr>
                <w:rFonts w:hint="eastAsia" w:ascii="黑体" w:hAnsi="黑体" w:eastAsia="黑体" w:cs="宋体"/>
                <w:bCs/>
                <w:color w:val="auto"/>
                <w:sz w:val="28"/>
                <w:szCs w:val="28"/>
                <w:highlight w:val="none"/>
              </w:rPr>
              <w:t>业发展重点项目</w:t>
            </w:r>
          </w:p>
        </w:tc>
      </w:tr>
      <w:tr w14:paraId="2D597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noWrap w:val="0"/>
            <w:vAlign w:val="top"/>
          </w:tcPr>
          <w:p w14:paraId="6A5F3E41">
            <w:pPr>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仿宋_GB2312" w:hAnsi="仿宋_GB2312" w:eastAsia="仿宋_GB2312" w:cs="仿宋_GB2312"/>
                <w:bCs/>
                <w:color w:val="auto"/>
                <w:sz w:val="28"/>
                <w:szCs w:val="28"/>
                <w:highlight w:val="none"/>
                <w:lang w:val="en-US" w:eastAsia="zh-CN"/>
              </w:rPr>
            </w:pPr>
            <w:r>
              <w:rPr>
                <w:rFonts w:hint="eastAsia" w:ascii="仿宋_GB2312" w:hAnsi="仿宋_GB2312" w:eastAsia="仿宋_GB2312" w:cs="仿宋_GB2312"/>
                <w:b/>
                <w:bCs w:val="0"/>
                <w:color w:val="auto"/>
                <w:sz w:val="28"/>
                <w:szCs w:val="28"/>
                <w:highlight w:val="none"/>
              </w:rPr>
              <w:t>锂电</w:t>
            </w:r>
            <w:r>
              <w:rPr>
                <w:rFonts w:hint="eastAsia" w:ascii="仿宋_GB2312" w:hAnsi="仿宋_GB2312" w:eastAsia="仿宋_GB2312" w:cs="仿宋_GB2312"/>
                <w:b/>
                <w:bCs w:val="0"/>
                <w:color w:val="auto"/>
                <w:sz w:val="28"/>
                <w:szCs w:val="28"/>
                <w:highlight w:val="none"/>
                <w:lang w:val="en-US" w:eastAsia="zh-CN"/>
              </w:rPr>
              <w:t>和</w:t>
            </w:r>
            <w:r>
              <w:rPr>
                <w:rFonts w:hint="eastAsia" w:ascii="仿宋_GB2312" w:hAnsi="仿宋_GB2312" w:eastAsia="仿宋_GB2312" w:cs="仿宋_GB2312"/>
                <w:b/>
                <w:bCs w:val="0"/>
                <w:color w:val="auto"/>
                <w:sz w:val="28"/>
                <w:szCs w:val="28"/>
                <w:highlight w:val="none"/>
              </w:rPr>
              <w:t>新能源：</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 w:val="0"/>
                <w:bCs/>
                <w:color w:val="auto"/>
                <w:sz w:val="28"/>
                <w:szCs w:val="28"/>
                <w:highlight w:val="none"/>
                <w:lang w:val="en-US" w:eastAsia="zh-CN"/>
              </w:rPr>
              <w:t>1</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Cs/>
                <w:color w:val="auto"/>
                <w:sz w:val="28"/>
                <w:szCs w:val="28"/>
                <w:highlight w:val="none"/>
              </w:rPr>
              <w:t>潮实新能源年产5万吨高性能锰酸锂材料项目</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lang w:val="en-US" w:eastAsia="zh-CN"/>
              </w:rPr>
              <w:t>2</w:t>
            </w:r>
            <w:r>
              <w:rPr>
                <w:rFonts w:hint="eastAsia" w:ascii="仿宋_GB2312" w:hAnsi="仿宋_GB2312" w:eastAsia="仿宋_GB2312" w:cs="仿宋_GB2312"/>
                <w:bCs/>
                <w:color w:val="auto"/>
                <w:sz w:val="28"/>
                <w:szCs w:val="28"/>
                <w:highlight w:val="none"/>
                <w:lang w:eastAsia="zh-CN"/>
              </w:rPr>
              <w:t>）颐力时代年产 5GWh 高倍率锂电池项目（</w:t>
            </w:r>
            <w:r>
              <w:rPr>
                <w:rFonts w:hint="eastAsia" w:ascii="仿宋_GB2312" w:hAnsi="仿宋_GB2312" w:eastAsia="仿宋_GB2312" w:cs="仿宋_GB2312"/>
                <w:bCs/>
                <w:color w:val="auto"/>
                <w:sz w:val="28"/>
                <w:szCs w:val="28"/>
                <w:highlight w:val="none"/>
                <w:lang w:val="en-US" w:eastAsia="zh-CN"/>
              </w:rPr>
              <w:t>3</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lang w:val="en-US" w:eastAsia="zh-CN"/>
              </w:rPr>
              <w:t>台</w:t>
            </w:r>
            <w:r>
              <w:rPr>
                <w:rFonts w:hint="eastAsia" w:ascii="仿宋_GB2312" w:hAnsi="仿宋_GB2312" w:eastAsia="仿宋_GB2312" w:cs="仿宋_GB2312"/>
                <w:bCs/>
                <w:color w:val="auto"/>
                <w:sz w:val="28"/>
                <w:szCs w:val="28"/>
                <w:highlight w:val="none"/>
              </w:rPr>
              <w:t>实新能源年产5万吨四氧化三锰项目</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lang w:val="en-US" w:eastAsia="zh-CN"/>
              </w:rPr>
              <w:t>4</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rPr>
              <w:t>明源新能源电化学储能一期扩容项目</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lang w:val="en-US" w:eastAsia="zh-CN"/>
              </w:rPr>
              <w:t>5</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rPr>
              <w:t>台儿庄区集中式风电项目</w:t>
            </w:r>
            <w:r>
              <w:rPr>
                <w:rFonts w:hint="eastAsia" w:ascii="仿宋_GB2312" w:hAnsi="仿宋_GB2312" w:eastAsia="仿宋_GB2312" w:cs="仿宋_GB2312"/>
                <w:bCs/>
                <w:color w:val="auto"/>
                <w:sz w:val="28"/>
                <w:szCs w:val="28"/>
                <w:highlight w:val="none"/>
                <w:lang w:val="en-US" w:eastAsia="zh-CN"/>
              </w:rPr>
              <w:t>（6）山东华电枣庄台儿庄张山子40MW分散式风电项目（7）国电投台儿庄泥沟镇40MW风电项目（8）国能台儿庄“千乡万村驭风行动”20MW风电项目（9）台儿庄开发区源网荷储及绿电直连项目（10）王晁2×280MW燃气热电联产项目</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lang w:val="en-US" w:eastAsia="zh-CN"/>
              </w:rPr>
              <w:t>11</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rPr>
              <w:t>年产1GW非标定制化光伏组件项目</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lang w:val="en-US" w:eastAsia="zh-CN"/>
              </w:rPr>
              <w:t>12</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rPr>
              <w:t>中能皓沨400MW/800MWh储能电站</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lang w:val="en-US" w:eastAsia="zh-CN"/>
              </w:rPr>
              <w:t>13</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rPr>
              <w:t>坦桑尼亚林迪鲁安瓜石墨矿项目</w:t>
            </w:r>
          </w:p>
          <w:p w14:paraId="1CE23E84">
            <w:pPr>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仿宋_GB2312" w:hAnsi="仿宋_GB2312" w:eastAsia="仿宋_GB2312" w:cs="仿宋_GB2312"/>
                <w:bCs/>
                <w:color w:val="auto"/>
                <w:sz w:val="28"/>
                <w:szCs w:val="28"/>
                <w:highlight w:val="none"/>
                <w:lang w:eastAsia="zh-CN"/>
              </w:rPr>
            </w:pPr>
            <w:r>
              <w:rPr>
                <w:rFonts w:hint="eastAsia" w:ascii="仿宋_GB2312" w:hAnsi="仿宋_GB2312" w:eastAsia="仿宋_GB2312" w:cs="仿宋_GB2312"/>
                <w:b/>
                <w:bCs w:val="0"/>
                <w:color w:val="auto"/>
                <w:sz w:val="28"/>
                <w:szCs w:val="28"/>
                <w:highlight w:val="none"/>
                <w:lang w:val="en-US" w:eastAsia="zh-CN"/>
              </w:rPr>
              <w:t>机</w:t>
            </w:r>
            <w:r>
              <w:rPr>
                <w:rFonts w:hint="eastAsia" w:ascii="仿宋_GB2312" w:hAnsi="仿宋_GB2312" w:eastAsia="仿宋_GB2312" w:cs="仿宋_GB2312"/>
                <w:b/>
                <w:bCs w:val="0"/>
                <w:color w:val="auto"/>
                <w:sz w:val="28"/>
                <w:szCs w:val="28"/>
                <w:highlight w:val="none"/>
              </w:rPr>
              <w:t>械和高端装备：</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 w:val="0"/>
                <w:bCs/>
                <w:color w:val="auto"/>
                <w:sz w:val="28"/>
                <w:szCs w:val="28"/>
                <w:highlight w:val="none"/>
                <w:lang w:val="en-US" w:eastAsia="zh-CN"/>
              </w:rPr>
              <w:t>1</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Cs/>
                <w:color w:val="auto"/>
                <w:sz w:val="28"/>
                <w:szCs w:val="28"/>
                <w:highlight w:val="none"/>
              </w:rPr>
              <w:t>汉森新材料智能化装备技改扩建项目</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 w:val="0"/>
                <w:bCs/>
                <w:color w:val="auto"/>
                <w:sz w:val="28"/>
                <w:szCs w:val="28"/>
                <w:highlight w:val="none"/>
                <w:lang w:val="en-US" w:eastAsia="zh-CN"/>
              </w:rPr>
              <w:t>2</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Cs/>
                <w:color w:val="auto"/>
                <w:sz w:val="28"/>
                <w:szCs w:val="28"/>
                <w:highlight w:val="none"/>
              </w:rPr>
              <w:t>金石年产1万吨高性能商用车制动器球</w:t>
            </w:r>
            <w:r>
              <w:rPr>
                <w:rFonts w:hint="eastAsia" w:ascii="仿宋_GB2312" w:hAnsi="仿宋_GB2312" w:eastAsia="仿宋_GB2312" w:cs="仿宋_GB2312"/>
                <w:bCs/>
                <w:color w:val="auto"/>
                <w:sz w:val="28"/>
                <w:szCs w:val="28"/>
                <w:highlight w:val="none"/>
                <w:lang w:val="en-US" w:eastAsia="zh-CN"/>
              </w:rPr>
              <w:t>墨</w:t>
            </w:r>
            <w:r>
              <w:rPr>
                <w:rFonts w:hint="eastAsia" w:ascii="仿宋_GB2312" w:hAnsi="仿宋_GB2312" w:eastAsia="仿宋_GB2312" w:cs="仿宋_GB2312"/>
                <w:bCs/>
                <w:color w:val="auto"/>
                <w:sz w:val="28"/>
                <w:szCs w:val="28"/>
                <w:highlight w:val="none"/>
              </w:rPr>
              <w:t>铸铁项目</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 w:val="0"/>
                <w:bCs/>
                <w:color w:val="auto"/>
                <w:sz w:val="28"/>
                <w:szCs w:val="28"/>
                <w:highlight w:val="none"/>
                <w:lang w:val="en-US" w:eastAsia="zh-CN"/>
              </w:rPr>
              <w:t>3</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Cs/>
                <w:color w:val="auto"/>
                <w:sz w:val="28"/>
                <w:szCs w:val="28"/>
                <w:highlight w:val="none"/>
              </w:rPr>
              <w:t>恒昌全自动化V法铸造生产线技改项目</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 w:val="0"/>
                <w:bCs/>
                <w:color w:val="auto"/>
                <w:sz w:val="28"/>
                <w:szCs w:val="28"/>
                <w:highlight w:val="none"/>
                <w:lang w:val="en-US" w:eastAsia="zh-CN"/>
              </w:rPr>
              <w:t>4</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Cs/>
                <w:color w:val="auto"/>
                <w:sz w:val="28"/>
                <w:szCs w:val="28"/>
                <w:highlight w:val="none"/>
                <w:lang w:val="en-US" w:eastAsia="zh-CN"/>
              </w:rPr>
              <w:t>王晁</w:t>
            </w:r>
            <w:r>
              <w:rPr>
                <w:rFonts w:hint="eastAsia" w:ascii="仿宋_GB2312" w:hAnsi="仿宋_GB2312" w:eastAsia="仿宋_GB2312" w:cs="仿宋_GB2312"/>
                <w:bCs/>
                <w:color w:val="auto"/>
                <w:sz w:val="28"/>
                <w:szCs w:val="28"/>
                <w:highlight w:val="none"/>
              </w:rPr>
              <w:t>煤矿智能化采掘设备项目</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lang w:val="en-US" w:eastAsia="zh-CN"/>
              </w:rPr>
              <w:t>5</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 w:val="0"/>
                <w:bCs/>
                <w:color w:val="auto"/>
                <w:sz w:val="28"/>
                <w:szCs w:val="28"/>
                <w:highlight w:val="none"/>
                <w:lang w:eastAsia="zh-CN"/>
              </w:rPr>
              <w:t>奥氏体不锈钢</w:t>
            </w:r>
            <w:r>
              <w:rPr>
                <w:rFonts w:hint="eastAsia" w:ascii="仿宋_GB2312" w:hAnsi="仿宋_GB2312" w:eastAsia="仿宋_GB2312" w:cs="仿宋_GB2312"/>
                <w:b w:val="0"/>
                <w:bCs/>
                <w:color w:val="auto"/>
                <w:sz w:val="28"/>
                <w:szCs w:val="28"/>
                <w:highlight w:val="none"/>
                <w:lang w:val="en-US" w:eastAsia="zh-CN"/>
              </w:rPr>
              <w:t>产业链延伸项目</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lang w:val="en-US" w:eastAsia="zh-CN"/>
              </w:rPr>
              <w:t>6</w:t>
            </w:r>
            <w:r>
              <w:rPr>
                <w:rFonts w:hint="eastAsia" w:ascii="仿宋_GB2312" w:hAnsi="仿宋_GB2312" w:eastAsia="仿宋_GB2312" w:cs="仿宋_GB2312"/>
                <w:bCs/>
                <w:color w:val="auto"/>
                <w:sz w:val="28"/>
                <w:szCs w:val="28"/>
                <w:highlight w:val="none"/>
                <w:lang w:eastAsia="zh-CN"/>
              </w:rPr>
              <w:t>）金工码垛机器人项目（</w:t>
            </w:r>
            <w:r>
              <w:rPr>
                <w:rFonts w:hint="eastAsia" w:ascii="仿宋_GB2312" w:hAnsi="仿宋_GB2312" w:eastAsia="仿宋_GB2312" w:cs="仿宋_GB2312"/>
                <w:bCs/>
                <w:color w:val="auto"/>
                <w:sz w:val="28"/>
                <w:szCs w:val="28"/>
                <w:highlight w:val="none"/>
                <w:lang w:val="en-US" w:eastAsia="zh-CN"/>
              </w:rPr>
              <w:t>7</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lang w:val="en-US" w:eastAsia="zh-CN"/>
              </w:rPr>
              <w:t>华亿</w:t>
            </w:r>
            <w:r>
              <w:rPr>
                <w:rFonts w:hint="eastAsia" w:ascii="仿宋_GB2312" w:hAnsi="仿宋_GB2312" w:eastAsia="仿宋_GB2312" w:cs="仿宋_GB2312"/>
                <w:bCs/>
                <w:color w:val="auto"/>
                <w:sz w:val="28"/>
                <w:szCs w:val="28"/>
                <w:highlight w:val="none"/>
                <w:lang w:eastAsia="zh-CN"/>
              </w:rPr>
              <w:t>无人农业机器人智能制造项目（</w:t>
            </w:r>
            <w:r>
              <w:rPr>
                <w:rFonts w:hint="eastAsia" w:ascii="仿宋_GB2312" w:hAnsi="仿宋_GB2312" w:eastAsia="仿宋_GB2312" w:cs="仿宋_GB2312"/>
                <w:bCs/>
                <w:color w:val="auto"/>
                <w:sz w:val="28"/>
                <w:szCs w:val="28"/>
                <w:highlight w:val="none"/>
                <w:lang w:val="en-US" w:eastAsia="zh-CN"/>
              </w:rPr>
              <w:t>8</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lang w:val="en-US" w:eastAsia="zh-CN"/>
              </w:rPr>
              <w:t>永钰智能高端机械装备精密配件制造产业园（9）申科高端结构件项目</w:t>
            </w:r>
            <w:r>
              <w:rPr>
                <w:rFonts w:hint="eastAsia" w:ascii="仿宋_GB2312" w:hAnsi="仿宋_GB2312" w:eastAsia="仿宋_GB2312" w:cs="仿宋_GB2312"/>
                <w:bCs/>
                <w:color w:val="auto"/>
                <w:sz w:val="28"/>
                <w:szCs w:val="28"/>
                <w:highlight w:val="none"/>
                <w:lang w:eastAsia="zh-CN"/>
              </w:rPr>
              <w:t>。</w:t>
            </w:r>
          </w:p>
          <w:p w14:paraId="19B834B6">
            <w:pPr>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仿宋_GB2312" w:hAnsi="仿宋_GB2312" w:eastAsia="仿宋_GB2312" w:cs="仿宋_GB2312"/>
                <w:bCs/>
                <w:color w:val="auto"/>
                <w:sz w:val="28"/>
                <w:szCs w:val="28"/>
                <w:highlight w:val="none"/>
                <w:lang w:eastAsia="zh-CN"/>
              </w:rPr>
            </w:pPr>
            <w:r>
              <w:rPr>
                <w:rFonts w:hint="eastAsia" w:ascii="仿宋_GB2312" w:hAnsi="仿宋_GB2312" w:eastAsia="仿宋_GB2312" w:cs="仿宋_GB2312"/>
                <w:b/>
                <w:bCs w:val="0"/>
                <w:color w:val="auto"/>
                <w:sz w:val="28"/>
                <w:szCs w:val="28"/>
                <w:highlight w:val="none"/>
                <w:lang w:val="en-US" w:eastAsia="zh-CN"/>
              </w:rPr>
              <w:t>绿色建材</w:t>
            </w:r>
            <w:r>
              <w:rPr>
                <w:rFonts w:hint="eastAsia" w:ascii="仿宋_GB2312" w:hAnsi="仿宋_GB2312" w:eastAsia="仿宋_GB2312" w:cs="仿宋_GB2312"/>
                <w:b/>
                <w:bCs w:val="0"/>
                <w:color w:val="auto"/>
                <w:sz w:val="28"/>
                <w:szCs w:val="28"/>
                <w:highlight w:val="none"/>
              </w:rPr>
              <w:t>：</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 w:val="0"/>
                <w:bCs/>
                <w:color w:val="auto"/>
                <w:sz w:val="28"/>
                <w:szCs w:val="28"/>
                <w:highlight w:val="none"/>
                <w:lang w:val="en-US" w:eastAsia="zh-CN"/>
              </w:rPr>
              <w:t>1</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Cs/>
                <w:color w:val="auto"/>
                <w:sz w:val="28"/>
                <w:szCs w:val="28"/>
                <w:highlight w:val="none"/>
              </w:rPr>
              <w:t>山东三阳工业科技产业园</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 w:val="0"/>
                <w:bCs/>
                <w:color w:val="auto"/>
                <w:sz w:val="28"/>
                <w:szCs w:val="28"/>
                <w:highlight w:val="none"/>
                <w:lang w:val="en-US" w:eastAsia="zh-CN"/>
              </w:rPr>
              <w:t>2</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Cs/>
                <w:color w:val="auto"/>
                <w:sz w:val="28"/>
                <w:szCs w:val="28"/>
                <w:highlight w:val="none"/>
              </w:rPr>
              <w:t>港利钙基纳米新材料项目</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lang w:val="en-US" w:eastAsia="zh-CN"/>
              </w:rPr>
              <w:t>3</w:t>
            </w:r>
            <w:r>
              <w:rPr>
                <w:rFonts w:hint="eastAsia" w:ascii="仿宋_GB2312" w:hAnsi="仿宋_GB2312" w:eastAsia="仿宋_GB2312" w:cs="仿宋_GB2312"/>
                <w:bCs/>
                <w:color w:val="auto"/>
                <w:sz w:val="28"/>
                <w:szCs w:val="28"/>
                <w:highlight w:val="none"/>
                <w:lang w:eastAsia="zh-CN"/>
              </w:rPr>
              <w:t>）鑫润基新型建筑材料建设项目（</w:t>
            </w:r>
            <w:r>
              <w:rPr>
                <w:rFonts w:hint="eastAsia" w:ascii="仿宋_GB2312" w:hAnsi="仿宋_GB2312" w:eastAsia="仿宋_GB2312" w:cs="仿宋_GB2312"/>
                <w:bCs/>
                <w:color w:val="auto"/>
                <w:sz w:val="28"/>
                <w:szCs w:val="28"/>
                <w:highlight w:val="none"/>
                <w:lang w:val="en-US" w:eastAsia="zh-CN"/>
              </w:rPr>
              <w:t>4</w:t>
            </w:r>
            <w:r>
              <w:rPr>
                <w:rFonts w:hint="eastAsia" w:ascii="仿宋_GB2312" w:hAnsi="仿宋_GB2312" w:eastAsia="仿宋_GB2312" w:cs="仿宋_GB2312"/>
                <w:bCs/>
                <w:color w:val="auto"/>
                <w:sz w:val="28"/>
                <w:szCs w:val="28"/>
                <w:highlight w:val="none"/>
                <w:lang w:eastAsia="zh-CN"/>
              </w:rPr>
              <w:t>）联合王晁4000t/d新型干法水泥熟料生产线及余热发电项目（</w:t>
            </w:r>
            <w:r>
              <w:rPr>
                <w:rFonts w:hint="eastAsia" w:ascii="仿宋_GB2312" w:hAnsi="仿宋_GB2312" w:eastAsia="仿宋_GB2312" w:cs="仿宋_GB2312"/>
                <w:bCs/>
                <w:color w:val="auto"/>
                <w:sz w:val="28"/>
                <w:szCs w:val="28"/>
                <w:highlight w:val="none"/>
                <w:lang w:val="en-US" w:eastAsia="zh-CN"/>
              </w:rPr>
              <w:t>5</w:t>
            </w:r>
            <w:r>
              <w:rPr>
                <w:rFonts w:hint="eastAsia" w:ascii="仿宋_GB2312" w:hAnsi="仿宋_GB2312" w:eastAsia="仿宋_GB2312" w:cs="仿宋_GB2312"/>
                <w:bCs/>
                <w:color w:val="auto"/>
                <w:sz w:val="28"/>
                <w:szCs w:val="28"/>
                <w:highlight w:val="none"/>
                <w:lang w:eastAsia="zh-CN"/>
              </w:rPr>
              <w:t>）新材料智能化装备技改扩建项目。</w:t>
            </w:r>
          </w:p>
          <w:p w14:paraId="251594A2">
            <w:pPr>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
                <w:bCs w:val="0"/>
                <w:color w:val="auto"/>
                <w:sz w:val="28"/>
                <w:szCs w:val="28"/>
                <w:highlight w:val="none"/>
              </w:rPr>
              <w:t>纺织服装：</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 w:val="0"/>
                <w:bCs/>
                <w:color w:val="auto"/>
                <w:sz w:val="28"/>
                <w:szCs w:val="28"/>
                <w:highlight w:val="none"/>
                <w:lang w:val="en-US" w:eastAsia="zh-CN"/>
              </w:rPr>
              <w:t>1</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Cs/>
                <w:color w:val="auto"/>
                <w:sz w:val="28"/>
                <w:szCs w:val="28"/>
                <w:highlight w:val="none"/>
                <w:lang w:val="en-US" w:eastAsia="zh-CN"/>
              </w:rPr>
              <w:t>王晁</w:t>
            </w:r>
            <w:r>
              <w:rPr>
                <w:rFonts w:hint="eastAsia" w:ascii="仿宋_GB2312" w:hAnsi="仿宋_GB2312" w:eastAsia="仿宋_GB2312" w:cs="仿宋_GB2312"/>
                <w:bCs/>
                <w:color w:val="auto"/>
                <w:sz w:val="28"/>
                <w:szCs w:val="28"/>
                <w:highlight w:val="none"/>
              </w:rPr>
              <w:t>年产2000吨高性能时尚生态色纺纱项目（一期）</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lang w:val="en-US" w:eastAsia="zh-CN"/>
              </w:rPr>
              <w:t>2</w:t>
            </w:r>
            <w:r>
              <w:rPr>
                <w:rFonts w:hint="eastAsia" w:ascii="仿宋_GB2312" w:hAnsi="仿宋_GB2312" w:eastAsia="仿宋_GB2312" w:cs="仿宋_GB2312"/>
                <w:bCs/>
                <w:color w:val="auto"/>
                <w:sz w:val="28"/>
                <w:szCs w:val="28"/>
                <w:highlight w:val="none"/>
                <w:lang w:eastAsia="zh-CN"/>
              </w:rPr>
              <w:t>）青纺联纺纱成套设备智能化改造</w:t>
            </w:r>
            <w:r>
              <w:rPr>
                <w:rFonts w:hint="eastAsia" w:ascii="仿宋_GB2312" w:hAnsi="仿宋_GB2312" w:eastAsia="仿宋_GB2312" w:cs="仿宋_GB2312"/>
                <w:bCs/>
                <w:color w:val="auto"/>
                <w:sz w:val="28"/>
                <w:szCs w:val="28"/>
                <w:highlight w:val="none"/>
                <w:lang w:val="en-US" w:eastAsia="zh-CN"/>
              </w:rPr>
              <w:t>项目。</w:t>
            </w:r>
          </w:p>
          <w:p w14:paraId="3F1D12A6">
            <w:pPr>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仿宋_GB2312" w:hAnsi="仿宋_GB2312" w:eastAsia="仿宋_GB2312" w:cs="仿宋_GB2312"/>
                <w:bCs/>
                <w:color w:val="auto"/>
                <w:sz w:val="28"/>
                <w:szCs w:val="28"/>
                <w:highlight w:val="none"/>
                <w:lang w:eastAsia="zh-CN"/>
              </w:rPr>
            </w:pPr>
            <w:r>
              <w:rPr>
                <w:rFonts w:hint="eastAsia" w:ascii="仿宋_GB2312" w:hAnsi="仿宋_GB2312" w:eastAsia="仿宋_GB2312" w:cs="仿宋_GB2312"/>
                <w:b/>
                <w:bCs w:val="0"/>
                <w:color w:val="auto"/>
                <w:sz w:val="28"/>
                <w:szCs w:val="28"/>
                <w:highlight w:val="none"/>
              </w:rPr>
              <w:t>生态造纸：</w:t>
            </w:r>
            <w:r>
              <w:rPr>
                <w:rFonts w:hint="eastAsia" w:ascii="仿宋_GB2312" w:hAnsi="仿宋_GB2312" w:eastAsia="仿宋_GB2312" w:cs="仿宋_GB2312"/>
                <w:bCs/>
                <w:color w:val="auto"/>
                <w:sz w:val="28"/>
                <w:szCs w:val="28"/>
                <w:highlight w:val="none"/>
              </w:rPr>
              <w:t>（1）年产10万吨特种食品包装纸项目（2）全生物降解一次性制品生产线技术改造项目（3）年产4万吨生物可降解交联多孔新材料技术改造项目（4）高端装饰材料技改扩建项目</w:t>
            </w:r>
            <w:r>
              <w:rPr>
                <w:rFonts w:hint="eastAsia" w:ascii="仿宋_GB2312" w:hAnsi="仿宋_GB2312" w:eastAsia="仿宋_GB2312" w:cs="仿宋_GB2312"/>
                <w:bCs/>
                <w:color w:val="auto"/>
                <w:sz w:val="28"/>
                <w:szCs w:val="28"/>
                <w:highlight w:val="none"/>
                <w:lang w:eastAsia="zh-CN"/>
              </w:rPr>
              <w:t>。</w:t>
            </w:r>
          </w:p>
          <w:p w14:paraId="4AFE239F">
            <w:pPr>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仿宋_GB2312" w:hAnsi="仿宋_GB2312" w:eastAsia="仿宋_GB2312" w:cs="仿宋_GB2312"/>
                <w:bCs/>
                <w:color w:val="auto"/>
                <w:sz w:val="28"/>
                <w:szCs w:val="28"/>
                <w:highlight w:val="none"/>
                <w:lang w:eastAsia="zh-CN"/>
              </w:rPr>
            </w:pPr>
            <w:r>
              <w:rPr>
                <w:rFonts w:hint="eastAsia" w:ascii="仿宋_GB2312" w:hAnsi="仿宋_GB2312" w:eastAsia="仿宋_GB2312" w:cs="仿宋_GB2312"/>
                <w:b/>
                <w:bCs w:val="0"/>
                <w:color w:val="auto"/>
                <w:sz w:val="28"/>
                <w:szCs w:val="28"/>
                <w:highlight w:val="none"/>
              </w:rPr>
              <w:t>绿色智能船舶：</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 w:val="0"/>
                <w:bCs/>
                <w:color w:val="auto"/>
                <w:sz w:val="28"/>
                <w:szCs w:val="28"/>
                <w:highlight w:val="none"/>
                <w:lang w:val="en-US" w:eastAsia="zh-CN"/>
              </w:rPr>
              <w:t>1</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Cs/>
                <w:color w:val="auto"/>
                <w:sz w:val="28"/>
                <w:szCs w:val="28"/>
                <w:highlight w:val="none"/>
              </w:rPr>
              <w:t>振兴船业新能源船舶制造项目</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 w:val="0"/>
                <w:bCs/>
                <w:color w:val="auto"/>
                <w:sz w:val="28"/>
                <w:szCs w:val="28"/>
                <w:highlight w:val="none"/>
                <w:lang w:val="en-US" w:eastAsia="zh-CN"/>
              </w:rPr>
              <w:t>2</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Cs/>
                <w:color w:val="auto"/>
                <w:sz w:val="28"/>
                <w:szCs w:val="28"/>
                <w:highlight w:val="none"/>
              </w:rPr>
              <w:t>鲁舶年产200艘新能源船舶项目</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lang w:val="en-US" w:eastAsia="zh-CN"/>
              </w:rPr>
              <w:t>3</w:t>
            </w:r>
            <w:r>
              <w:rPr>
                <w:rFonts w:hint="eastAsia" w:ascii="仿宋_GB2312" w:hAnsi="仿宋_GB2312" w:eastAsia="仿宋_GB2312" w:cs="仿宋_GB2312"/>
                <w:bCs/>
                <w:color w:val="auto"/>
                <w:sz w:val="28"/>
                <w:szCs w:val="28"/>
                <w:highlight w:val="none"/>
                <w:lang w:eastAsia="zh-CN"/>
              </w:rPr>
              <w:t>）新能源船舶制造项目。</w:t>
            </w:r>
          </w:p>
          <w:p w14:paraId="4789F033">
            <w:pPr>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仿宋_GB2312" w:hAnsi="仿宋_GB2312" w:eastAsia="仿宋_GB2312" w:cs="仿宋_GB2312"/>
                <w:bCs/>
                <w:color w:val="auto"/>
                <w:sz w:val="28"/>
                <w:szCs w:val="28"/>
                <w:highlight w:val="none"/>
                <w:lang w:eastAsia="zh-CN"/>
              </w:rPr>
            </w:pPr>
            <w:r>
              <w:rPr>
                <w:rFonts w:hint="eastAsia" w:ascii="仿宋_GB2312" w:hAnsi="仿宋_GB2312" w:eastAsia="仿宋_GB2312" w:cs="仿宋_GB2312"/>
                <w:b/>
                <w:bCs w:val="0"/>
                <w:color w:val="auto"/>
                <w:sz w:val="28"/>
                <w:szCs w:val="28"/>
                <w:highlight w:val="none"/>
              </w:rPr>
              <w:t>低空经济：</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 w:val="0"/>
                <w:bCs/>
                <w:color w:val="auto"/>
                <w:sz w:val="28"/>
                <w:szCs w:val="28"/>
                <w:highlight w:val="none"/>
                <w:lang w:val="en-US" w:eastAsia="zh-CN"/>
              </w:rPr>
              <w:t>1</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 w:val="0"/>
                <w:bCs/>
                <w:color w:val="auto"/>
                <w:sz w:val="28"/>
                <w:szCs w:val="28"/>
                <w:highlight w:val="none"/>
                <w:lang w:val="en-US" w:eastAsia="zh-CN"/>
              </w:rPr>
              <w:t>台儿庄区</w:t>
            </w:r>
            <w:r>
              <w:rPr>
                <w:rFonts w:hint="eastAsia" w:ascii="仿宋_GB2312" w:hAnsi="仿宋_GB2312" w:eastAsia="仿宋_GB2312" w:cs="仿宋_GB2312"/>
                <w:b w:val="0"/>
                <w:bCs/>
                <w:color w:val="auto"/>
                <w:sz w:val="28"/>
                <w:szCs w:val="28"/>
                <w:highlight w:val="none"/>
                <w:lang w:eastAsia="zh-CN"/>
              </w:rPr>
              <w:t>低空经济服务保障基地</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lang w:val="en-US" w:eastAsia="zh-CN"/>
              </w:rPr>
              <w:t>2</w:t>
            </w:r>
            <w:r>
              <w:rPr>
                <w:rFonts w:hint="eastAsia" w:ascii="仿宋_GB2312" w:hAnsi="仿宋_GB2312" w:eastAsia="仿宋_GB2312" w:cs="仿宋_GB2312"/>
                <w:bCs/>
                <w:color w:val="auto"/>
                <w:sz w:val="28"/>
                <w:szCs w:val="28"/>
                <w:highlight w:val="none"/>
                <w:lang w:eastAsia="zh-CN"/>
              </w:rPr>
              <w:t>）智能超轻型eVTOL生产线项目。</w:t>
            </w:r>
          </w:p>
          <w:p w14:paraId="505FB6ED">
            <w:pPr>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default" w:ascii="仿宋_GB2312" w:hAnsi="宋体" w:eastAsia="仿宋_GB2312" w:cs="宋体"/>
                <w:bCs/>
                <w:color w:val="auto"/>
                <w:sz w:val="28"/>
                <w:szCs w:val="28"/>
                <w:highlight w:val="none"/>
                <w:lang w:val="en-US" w:eastAsia="zh-CN"/>
              </w:rPr>
            </w:pPr>
            <w:r>
              <w:rPr>
                <w:rFonts w:hint="eastAsia" w:ascii="仿宋_GB2312" w:hAnsi="仿宋_GB2312" w:eastAsia="仿宋_GB2312" w:cs="仿宋_GB2312"/>
                <w:b/>
                <w:bCs w:val="0"/>
                <w:color w:val="auto"/>
                <w:sz w:val="28"/>
                <w:szCs w:val="28"/>
                <w:highlight w:val="none"/>
                <w:lang w:val="en-US" w:eastAsia="zh-CN"/>
              </w:rPr>
              <w:t>未来产业：</w:t>
            </w:r>
            <w:r>
              <w:rPr>
                <w:rFonts w:hint="eastAsia" w:ascii="仿宋_GB2312" w:hAnsi="仿宋_GB2312" w:eastAsia="仿宋_GB2312" w:cs="仿宋_GB2312"/>
                <w:b w:val="0"/>
                <w:bCs/>
                <w:color w:val="auto"/>
                <w:sz w:val="28"/>
                <w:szCs w:val="28"/>
                <w:highlight w:val="none"/>
                <w:lang w:val="en-US" w:eastAsia="zh-CN"/>
              </w:rPr>
              <w:t>（1）</w:t>
            </w:r>
            <w:r>
              <w:rPr>
                <w:rFonts w:hint="eastAsia" w:ascii="仿宋_GB2312" w:hAnsi="仿宋_GB2312" w:eastAsia="仿宋_GB2312" w:cs="仿宋_GB2312"/>
                <w:snapToGrid w:val="0"/>
                <w:color w:val="auto"/>
                <w:spacing w:val="0"/>
                <w:kern w:val="0"/>
                <w:sz w:val="28"/>
                <w:szCs w:val="28"/>
                <w:highlight w:val="none"/>
                <w:lang w:val="en-US" w:eastAsia="zh-CN" w:bidi="ar-SA"/>
              </w:rPr>
              <w:t>聚乳酸生产基地</w:t>
            </w:r>
          </w:p>
        </w:tc>
      </w:tr>
    </w:tbl>
    <w:p w14:paraId="442FF89C">
      <w:pPr>
        <w:pStyle w:val="2"/>
        <w:rPr>
          <w:rFonts w:hint="eastAsia"/>
          <w:color w:val="auto"/>
          <w:highlight w:val="none"/>
        </w:rPr>
      </w:pPr>
      <w:bookmarkStart w:id="9" w:name="_Toc20499"/>
    </w:p>
    <w:p w14:paraId="7B7562BB">
      <w:pPr>
        <w:pStyle w:val="6"/>
        <w:bidi w:val="0"/>
        <w:rPr>
          <w:color w:val="auto"/>
          <w:highlight w:val="none"/>
        </w:rPr>
      </w:pPr>
      <w:r>
        <w:rPr>
          <w:rFonts w:hint="eastAsia"/>
          <w:color w:val="auto"/>
          <w:highlight w:val="none"/>
        </w:rPr>
        <w:t>第三节 加快发展现代服务业</w:t>
      </w:r>
      <w:bookmarkEnd w:id="9"/>
    </w:p>
    <w:p w14:paraId="1521EFE4">
      <w:pPr>
        <w:pStyle w:val="12"/>
        <w:adjustRightInd w:val="0"/>
        <w:snapToGrid w:val="0"/>
        <w:spacing w:line="600" w:lineRule="exact"/>
        <w:ind w:firstLine="643" w:firstLineChars="200"/>
        <w:rPr>
          <w:rFonts w:ascii="仿宋_GB2312" w:eastAsia="仿宋_GB2312"/>
          <w:color w:val="auto"/>
          <w:sz w:val="32"/>
          <w:szCs w:val="32"/>
          <w:highlight w:val="none"/>
        </w:rPr>
      </w:pPr>
      <w:r>
        <w:rPr>
          <w:rFonts w:hint="eastAsia" w:ascii="仿宋_GB2312" w:hAnsi="Times New Roman" w:eastAsia="仿宋_GB2312"/>
          <w:b/>
          <w:bCs/>
          <w:color w:val="auto"/>
          <w:sz w:val="32"/>
          <w:szCs w:val="32"/>
          <w:highlight w:val="none"/>
        </w:rPr>
        <w:t>大力发展生产性服务业。</w:t>
      </w:r>
      <w:r>
        <w:rPr>
          <w:rFonts w:hint="eastAsia" w:ascii="仿宋_GB2312" w:hAnsi="Times New Roman" w:eastAsia="仿宋_GB2312"/>
          <w:color w:val="auto"/>
          <w:sz w:val="32"/>
          <w:szCs w:val="32"/>
          <w:highlight w:val="none"/>
        </w:rPr>
        <w:t>实施生产性服务业倍增发展行动，推动生产性服务业向专业化、高端化迈进。</w:t>
      </w:r>
      <w:r>
        <w:rPr>
          <w:rFonts w:hint="eastAsia" w:ascii="仿宋_GB2312" w:eastAsia="仿宋_GB2312"/>
          <w:bCs/>
          <w:color w:val="auto"/>
          <w:sz w:val="32"/>
          <w:szCs w:val="32"/>
          <w:highlight w:val="none"/>
        </w:rPr>
        <w:t>做强港航物流，高水平</w:t>
      </w:r>
      <w:r>
        <w:rPr>
          <w:rFonts w:ascii="仿宋_GB2312" w:eastAsia="仿宋_GB2312"/>
          <w:bCs/>
          <w:color w:val="auto"/>
          <w:sz w:val="32"/>
          <w:szCs w:val="32"/>
          <w:highlight w:val="none"/>
        </w:rPr>
        <w:t>建设运营台儿庄港</w:t>
      </w:r>
      <w:r>
        <w:rPr>
          <w:rFonts w:hint="eastAsia" w:ascii="仿宋_GB2312" w:hAnsi="仿宋_GB2312" w:eastAsia="仿宋_GB2312" w:cs="仿宋_GB2312"/>
          <w:color w:val="auto"/>
          <w:sz w:val="32"/>
          <w:szCs w:val="32"/>
          <w:highlight w:val="none"/>
        </w:rPr>
        <w:t>马兰屯作业区，</w:t>
      </w:r>
      <w:r>
        <w:rPr>
          <w:rFonts w:hint="eastAsia" w:ascii="仿宋_GB2312" w:hAnsi="仿宋_GB2312" w:eastAsia="仿宋_GB2312" w:cs="仿宋_GB2312"/>
          <w:color w:val="auto"/>
          <w:sz w:val="32"/>
          <w:szCs w:val="32"/>
          <w:highlight w:val="none"/>
          <w:lang w:val="en-US" w:eastAsia="zh-CN"/>
        </w:rPr>
        <w:t>建成运营</w:t>
      </w:r>
      <w:r>
        <w:rPr>
          <w:rFonts w:hint="eastAsia" w:ascii="仿宋_GB2312" w:hAnsi="仿宋_GB2312" w:eastAsia="仿宋_GB2312" w:cs="仿宋_GB2312"/>
          <w:color w:val="auto"/>
          <w:sz w:val="32"/>
          <w:szCs w:val="32"/>
          <w:highlight w:val="none"/>
        </w:rPr>
        <w:t>涧头集作业区，深化</w:t>
      </w:r>
      <w:r>
        <w:rPr>
          <w:rFonts w:ascii="仿宋_GB2312" w:hAnsi="仿宋_GB2312" w:eastAsia="仿宋_GB2312" w:cs="仿宋_GB2312"/>
          <w:color w:val="auto"/>
          <w:sz w:val="32"/>
          <w:szCs w:val="32"/>
          <w:highlight w:val="none"/>
        </w:rPr>
        <w:t>与</w:t>
      </w:r>
      <w:r>
        <w:rPr>
          <w:rFonts w:hint="eastAsia" w:ascii="仿宋_GB2312" w:hAnsi="仿宋_GB2312" w:eastAsia="仿宋_GB2312" w:cs="仿宋_GB2312"/>
          <w:color w:val="auto"/>
          <w:sz w:val="32"/>
          <w:szCs w:val="32"/>
          <w:highlight w:val="none"/>
        </w:rPr>
        <w:t>“锂机材纺纸”</w:t>
      </w:r>
      <w:r>
        <w:rPr>
          <w:rFonts w:hint="eastAsia" w:ascii="仿宋_GB2312" w:hAnsi="仿宋_GB2312" w:eastAsia="仿宋_GB2312" w:cs="仿宋_GB2312"/>
          <w:color w:val="auto"/>
          <w:sz w:val="32"/>
          <w:szCs w:val="32"/>
          <w:highlight w:val="none"/>
          <w:lang w:val="en-US" w:eastAsia="zh-CN"/>
        </w:rPr>
        <w:t>五大</w:t>
      </w:r>
      <w:r>
        <w:rPr>
          <w:rFonts w:hint="eastAsia" w:ascii="仿宋_GB2312" w:hAnsi="仿宋_GB2312" w:eastAsia="仿宋_GB2312" w:cs="仿宋_GB2312"/>
          <w:color w:val="auto"/>
          <w:sz w:val="32"/>
          <w:szCs w:val="32"/>
          <w:highlight w:val="none"/>
        </w:rPr>
        <w:t>主导</w:t>
      </w:r>
      <w:r>
        <w:rPr>
          <w:rFonts w:ascii="仿宋_GB2312" w:hAnsi="仿宋_GB2312" w:eastAsia="仿宋_GB2312" w:cs="仿宋_GB2312"/>
          <w:color w:val="auto"/>
          <w:sz w:val="32"/>
          <w:szCs w:val="32"/>
          <w:highlight w:val="none"/>
        </w:rPr>
        <w:t>产业合作，</w:t>
      </w:r>
      <w:r>
        <w:rPr>
          <w:rFonts w:hint="eastAsia" w:ascii="仿宋_GB2312" w:eastAsia="仿宋_GB2312"/>
          <w:color w:val="auto"/>
          <w:sz w:val="32"/>
          <w:szCs w:val="32"/>
          <w:highlight w:val="none"/>
        </w:rPr>
        <w:t>吸引物流商贸、加工制造、船舶修造等产业集聚，打造多式联运物流中心。做大电子商务，运营好龙工场跨境电商产业园，培育零售业绩贡献大、电商产业带动能力突出的电商平台、电商产业园区和直播电商基地，壮大网红打卡、直播电商等“流量经济”，打造台儿庄区电商产品品牌。培育人力资源服务</w:t>
      </w:r>
      <w:r>
        <w:rPr>
          <w:rFonts w:ascii="仿宋_GB2312" w:eastAsia="仿宋_GB2312"/>
          <w:color w:val="auto"/>
          <w:sz w:val="32"/>
          <w:szCs w:val="32"/>
          <w:highlight w:val="none"/>
        </w:rPr>
        <w:t>，</w:t>
      </w:r>
      <w:r>
        <w:rPr>
          <w:rFonts w:hint="eastAsia" w:ascii="仿宋_GB2312" w:eastAsia="仿宋_GB2312"/>
          <w:color w:val="auto"/>
          <w:sz w:val="32"/>
          <w:szCs w:val="32"/>
          <w:highlight w:val="none"/>
        </w:rPr>
        <w:t>推动人力资源业态关联、供需匹配，促进人力资源服务链与产业链、人才链协同发展。做优现代金融，支持各类金融机构深耕台儿庄，优化普惠重点领域产品服务供给，强化银发经济金融支持，做好科技金融、绿色金融、普惠金融、养老金融、数字金融“五篇大文章”。培育发展会计、税务、法律、广告、会议展览等商务服务业。</w:t>
      </w:r>
    </w:p>
    <w:p w14:paraId="0FBF598E">
      <w:pPr>
        <w:pStyle w:val="12"/>
        <w:adjustRightInd w:val="0"/>
        <w:snapToGrid w:val="0"/>
        <w:spacing w:line="600" w:lineRule="exact"/>
        <w:ind w:firstLine="643" w:firstLineChars="200"/>
        <w:rPr>
          <w:rFonts w:ascii="仿宋_GB2312" w:hAnsi="宋体" w:eastAsia="仿宋_GB2312" w:cs="宋体"/>
          <w:color w:val="auto"/>
          <w:kern w:val="0"/>
          <w:sz w:val="32"/>
          <w:szCs w:val="32"/>
          <w:highlight w:val="none"/>
        </w:rPr>
      </w:pPr>
      <w:r>
        <w:rPr>
          <w:rFonts w:hint="eastAsia" w:ascii="仿宋_GB2312" w:eastAsia="仿宋_GB2312"/>
          <w:b/>
          <w:bCs/>
          <w:color w:val="auto"/>
          <w:sz w:val="32"/>
          <w:szCs w:val="32"/>
          <w:highlight w:val="none"/>
        </w:rPr>
        <w:t>培育提升生活性服务业。</w:t>
      </w:r>
      <w:r>
        <w:rPr>
          <w:rFonts w:hint="eastAsia" w:ascii="仿宋_GB2312" w:eastAsia="仿宋_GB2312"/>
          <w:bCs/>
          <w:color w:val="auto"/>
          <w:sz w:val="32"/>
          <w:szCs w:val="32"/>
          <w:highlight w:val="none"/>
        </w:rPr>
        <w:t>围绕更</w:t>
      </w:r>
      <w:r>
        <w:rPr>
          <w:rFonts w:hint="eastAsia" w:ascii="仿宋_GB2312" w:eastAsia="仿宋_GB2312"/>
          <w:bCs/>
          <w:color w:val="auto"/>
          <w:sz w:val="32"/>
          <w:szCs w:val="32"/>
          <w:highlight w:val="none"/>
          <w:lang w:eastAsia="zh-CN"/>
        </w:rPr>
        <w:t>好地</w:t>
      </w:r>
      <w:r>
        <w:rPr>
          <w:rFonts w:hint="eastAsia" w:ascii="仿宋_GB2312" w:eastAsia="仿宋_GB2312"/>
          <w:bCs/>
          <w:color w:val="auto"/>
          <w:sz w:val="32"/>
          <w:szCs w:val="32"/>
          <w:highlight w:val="none"/>
        </w:rPr>
        <w:t>满足新时期人民群众对情绪价值和知识价值的多元需求，促进生活性服务业高品质、多样化、便利化发展。加快发展文化、旅游、体育服务，推进文体商旅深度融合，推广国风国潮、艺术时尚、剧本娱乐、线上演播等新业态，壮大红色旅游、工业旅游、乡村旅游、健康旅游。大力</w:t>
      </w:r>
      <w:r>
        <w:rPr>
          <w:rFonts w:ascii="仿宋_GB2312" w:eastAsia="仿宋_GB2312"/>
          <w:bCs/>
          <w:color w:val="auto"/>
          <w:sz w:val="32"/>
          <w:szCs w:val="32"/>
          <w:highlight w:val="none"/>
        </w:rPr>
        <w:t>发展</w:t>
      </w:r>
      <w:r>
        <w:rPr>
          <w:rFonts w:hint="eastAsia" w:ascii="仿宋_GB2312" w:eastAsia="仿宋_GB2312"/>
          <w:bCs/>
          <w:color w:val="auto"/>
          <w:sz w:val="32"/>
          <w:szCs w:val="32"/>
          <w:highlight w:val="none"/>
        </w:rPr>
        <w:t>普惠性生活服务，围绕“一老一小”等供需矛盾突出领域，通过政府购买服务、公建民营、民办公助等方式引入社会力量，发展质量有保障、价格可承受的普惠性生活服务。优化居民居住服务，</w:t>
      </w:r>
      <w:r>
        <w:rPr>
          <w:rFonts w:hint="eastAsia" w:ascii="仿宋_GB2312" w:hAnsi="宋体" w:eastAsia="仿宋_GB2312" w:cs="宋体"/>
          <w:color w:val="auto"/>
          <w:kern w:val="0"/>
          <w:sz w:val="32"/>
          <w:szCs w:val="32"/>
          <w:highlight w:val="none"/>
        </w:rPr>
        <w:t>开展物业服务提质赋能攻坚行动，</w:t>
      </w:r>
      <w:r>
        <w:rPr>
          <w:rFonts w:hint="eastAsia" w:ascii="仿宋_GB2312" w:eastAsia="仿宋_GB2312"/>
          <w:bCs/>
          <w:color w:val="auto"/>
          <w:sz w:val="32"/>
          <w:szCs w:val="32"/>
          <w:highlight w:val="none"/>
        </w:rPr>
        <w:t>实施家政服务扩容提质行动，大力发展社区便民服务，扩大优质家政服务供给。规范教育培训服务，丰富教育培训供给，提升社会力量办学质量与水平，积极引导民办教育在发展方向上更</w:t>
      </w:r>
      <w:r>
        <w:rPr>
          <w:rFonts w:hint="eastAsia" w:ascii="仿宋_GB2312" w:eastAsia="仿宋_GB2312"/>
          <w:bCs/>
          <w:color w:val="auto"/>
          <w:sz w:val="32"/>
          <w:szCs w:val="32"/>
          <w:highlight w:val="none"/>
          <w:lang w:eastAsia="zh-CN"/>
        </w:rPr>
        <w:t>好地</w:t>
      </w:r>
      <w:r>
        <w:rPr>
          <w:rFonts w:hint="eastAsia" w:ascii="仿宋_GB2312" w:eastAsia="仿宋_GB2312"/>
          <w:bCs/>
          <w:color w:val="auto"/>
          <w:sz w:val="32"/>
          <w:szCs w:val="32"/>
          <w:highlight w:val="none"/>
        </w:rPr>
        <w:t>体现优质特色，满足社会大众多元化、个性化学习需求。围绕古城文旅核心，加强特色商业街区、旅游休闲街区和商圈建设，</w:t>
      </w:r>
      <w:r>
        <w:rPr>
          <w:rFonts w:hint="eastAsia" w:ascii="仿宋_GB2312" w:eastAsia="仿宋_GB2312"/>
          <w:bCs/>
          <w:color w:val="auto"/>
          <w:sz w:val="32"/>
          <w:szCs w:val="32"/>
          <w:highlight w:val="none"/>
          <w:lang w:val="en-US" w:eastAsia="zh-CN"/>
        </w:rPr>
        <w:t>推动古城西门片区商业文旅综合体项目建设，</w:t>
      </w:r>
      <w:r>
        <w:rPr>
          <w:rFonts w:hint="eastAsia" w:ascii="仿宋_GB2312" w:eastAsia="仿宋_GB2312"/>
          <w:bCs/>
          <w:color w:val="auto"/>
          <w:sz w:val="32"/>
          <w:szCs w:val="32"/>
          <w:highlight w:val="none"/>
        </w:rPr>
        <w:t>延伸发展特色餐饮、主题民宿、文化体验、创意零售等品质化服务业态，构建主客共享、旅居融合的服务生态。优化空间布局、提升服务标准、融入非遗元素与现代消费场景，增强城区生活便利性与文化吸引力。</w:t>
      </w:r>
    </w:p>
    <w:p w14:paraId="7B7BD4D8">
      <w:pPr>
        <w:spacing w:line="600" w:lineRule="exact"/>
        <w:ind w:firstLine="643" w:firstLineChars="200"/>
        <w:rPr>
          <w:rFonts w:ascii="仿宋_GB2312" w:eastAsia="仿宋_GB2312"/>
          <w:color w:val="auto"/>
          <w:sz w:val="32"/>
          <w:szCs w:val="32"/>
          <w:highlight w:val="none"/>
        </w:rPr>
      </w:pPr>
      <w:r>
        <w:rPr>
          <w:rFonts w:ascii="仿宋_GB2312" w:eastAsia="仿宋_GB2312"/>
          <w:b/>
          <w:bCs/>
          <w:color w:val="auto"/>
          <w:sz w:val="32"/>
          <w:szCs w:val="32"/>
          <w:highlight w:val="none"/>
        </w:rPr>
        <w:t>推进现代服务业</w:t>
      </w:r>
      <w:r>
        <w:rPr>
          <w:rFonts w:hint="eastAsia" w:ascii="仿宋_GB2312" w:eastAsia="仿宋_GB2312"/>
          <w:b/>
          <w:bCs/>
          <w:color w:val="auto"/>
          <w:sz w:val="32"/>
          <w:szCs w:val="32"/>
          <w:highlight w:val="none"/>
        </w:rPr>
        <w:t>与</w:t>
      </w:r>
      <w:r>
        <w:rPr>
          <w:rFonts w:ascii="仿宋_GB2312" w:eastAsia="仿宋_GB2312"/>
          <w:b/>
          <w:bCs/>
          <w:color w:val="auto"/>
          <w:sz w:val="32"/>
          <w:szCs w:val="32"/>
          <w:highlight w:val="none"/>
        </w:rPr>
        <w:t>先进制造业</w:t>
      </w:r>
      <w:r>
        <w:rPr>
          <w:rFonts w:hint="eastAsia" w:ascii="仿宋_GB2312" w:eastAsia="仿宋_GB2312"/>
          <w:b/>
          <w:bCs/>
          <w:color w:val="auto"/>
          <w:sz w:val="32"/>
          <w:szCs w:val="32"/>
          <w:highlight w:val="none"/>
        </w:rPr>
        <w:t>等</w:t>
      </w:r>
      <w:r>
        <w:rPr>
          <w:rFonts w:ascii="仿宋_GB2312" w:eastAsia="仿宋_GB2312"/>
          <w:b/>
          <w:bCs/>
          <w:color w:val="auto"/>
          <w:sz w:val="32"/>
          <w:szCs w:val="32"/>
          <w:highlight w:val="none"/>
        </w:rPr>
        <w:t>融合</w:t>
      </w:r>
      <w:r>
        <w:rPr>
          <w:rFonts w:hint="eastAsia" w:ascii="仿宋_GB2312" w:eastAsia="仿宋_GB2312"/>
          <w:b/>
          <w:bCs/>
          <w:color w:val="auto"/>
          <w:sz w:val="32"/>
          <w:szCs w:val="32"/>
          <w:highlight w:val="none"/>
        </w:rPr>
        <w:t>发展</w:t>
      </w:r>
      <w:r>
        <w:rPr>
          <w:rFonts w:ascii="仿宋_GB2312" w:eastAsia="仿宋_GB2312"/>
          <w:b/>
          <w:bCs/>
          <w:color w:val="auto"/>
          <w:sz w:val="32"/>
          <w:szCs w:val="32"/>
          <w:highlight w:val="none"/>
        </w:rPr>
        <w:t>。</w:t>
      </w:r>
      <w:r>
        <w:rPr>
          <w:rFonts w:ascii="仿宋_GB2312" w:eastAsia="仿宋_GB2312"/>
          <w:color w:val="auto"/>
          <w:sz w:val="32"/>
          <w:szCs w:val="32"/>
          <w:highlight w:val="none"/>
        </w:rPr>
        <w:t>促进现代物流和制造业高效融合，引导大型流通企业向供应链集成服务商转型，提供专业化、一体化的供应链管理服务。</w:t>
      </w:r>
      <w:r>
        <w:rPr>
          <w:rFonts w:hint="eastAsia" w:ascii="仿宋_GB2312" w:eastAsia="仿宋_GB2312"/>
          <w:color w:val="auto"/>
          <w:sz w:val="32"/>
          <w:szCs w:val="32"/>
          <w:highlight w:val="none"/>
        </w:rPr>
        <w:t>促进</w:t>
      </w:r>
      <w:r>
        <w:rPr>
          <w:rFonts w:ascii="仿宋_GB2312" w:eastAsia="仿宋_GB2312"/>
          <w:color w:val="auto"/>
          <w:sz w:val="32"/>
          <w:szCs w:val="32"/>
          <w:highlight w:val="none"/>
        </w:rPr>
        <w:t>电子</w:t>
      </w:r>
      <w:r>
        <w:rPr>
          <w:rFonts w:hint="eastAsia" w:ascii="仿宋_GB2312" w:eastAsia="仿宋_GB2312"/>
          <w:color w:val="auto"/>
          <w:sz w:val="32"/>
          <w:szCs w:val="32"/>
          <w:highlight w:val="none"/>
        </w:rPr>
        <w:t>商务</w:t>
      </w:r>
      <w:r>
        <w:rPr>
          <w:rFonts w:ascii="仿宋_GB2312" w:eastAsia="仿宋_GB2312"/>
          <w:color w:val="auto"/>
          <w:sz w:val="32"/>
          <w:szCs w:val="32"/>
          <w:highlight w:val="none"/>
        </w:rPr>
        <w:t>与制造业融合，</w:t>
      </w:r>
      <w:r>
        <w:rPr>
          <w:rFonts w:hint="eastAsia" w:ascii="仿宋_GB2312" w:eastAsia="仿宋_GB2312"/>
          <w:color w:val="auto"/>
          <w:sz w:val="32"/>
          <w:szCs w:val="32"/>
          <w:highlight w:val="none"/>
        </w:rPr>
        <w:t>支持企业加快电商服务与制造业原材料采购、生产制造、终端销售等产业链环节的业务协同，提升电商产业集聚和公共服务能力。</w:t>
      </w:r>
      <w:r>
        <w:rPr>
          <w:rFonts w:ascii="仿宋_GB2312" w:eastAsia="仿宋_GB2312"/>
          <w:color w:val="auto"/>
          <w:sz w:val="32"/>
          <w:szCs w:val="32"/>
          <w:highlight w:val="none"/>
        </w:rPr>
        <w:t>深化新一代信息技术和制造业服务业融合，加快人工智能、工业互联网、5G、大数据等新一代信息技术在制造业、服务业的创新应用。提升高端装备与服务业融合水平，建设智能产线、智能工厂，发展柔性化生产、网络化协同、服务化延伸、数字化管理。推进新能源、节能环保与相关产业绿色融合，发展智慧化节能环保综合服务，培育绿色制造系统解决方案供应商。</w:t>
      </w:r>
    </w:p>
    <w:p w14:paraId="61D544C4">
      <w:pPr>
        <w:pStyle w:val="6"/>
        <w:bidi w:val="0"/>
        <w:rPr>
          <w:color w:val="auto"/>
          <w:highlight w:val="none"/>
        </w:rPr>
      </w:pPr>
      <w:bookmarkStart w:id="10" w:name="_Toc16642"/>
      <w:r>
        <w:rPr>
          <w:rFonts w:hint="eastAsia"/>
          <w:color w:val="auto"/>
          <w:highlight w:val="none"/>
        </w:rPr>
        <w:t>第四节 持续深化“数转智改”</w:t>
      </w:r>
      <w:bookmarkEnd w:id="10"/>
    </w:p>
    <w:p w14:paraId="3C898B28">
      <w:pPr>
        <w:spacing w:line="600" w:lineRule="exact"/>
        <w:ind w:firstLine="643" w:firstLineChars="200"/>
        <w:rPr>
          <w:rFonts w:hint="eastAsia" w:ascii="仿宋_GB2312" w:eastAsia="仿宋_GB2312"/>
          <w:color w:val="auto"/>
          <w:sz w:val="32"/>
          <w:szCs w:val="32"/>
          <w:highlight w:val="none"/>
        </w:rPr>
      </w:pPr>
      <w:r>
        <w:rPr>
          <w:rFonts w:hint="eastAsia" w:ascii="仿宋_GB2312" w:eastAsia="仿宋_GB2312"/>
          <w:b/>
          <w:color w:val="auto"/>
          <w:sz w:val="32"/>
          <w:szCs w:val="32"/>
          <w:highlight w:val="none"/>
        </w:rPr>
        <w:t>推进重点行业数字化转型</w:t>
      </w:r>
      <w:r>
        <w:rPr>
          <w:rFonts w:hint="eastAsia" w:ascii="仿宋_GB2312" w:eastAsia="仿宋_GB2312"/>
          <w:b/>
          <w:bCs/>
          <w:color w:val="auto"/>
          <w:sz w:val="32"/>
          <w:szCs w:val="32"/>
          <w:highlight w:val="none"/>
        </w:rPr>
        <w:t>。</w:t>
      </w:r>
      <w:r>
        <w:rPr>
          <w:rFonts w:hint="eastAsia" w:ascii="仿宋_GB2312" w:eastAsia="仿宋_GB2312"/>
          <w:color w:val="auto"/>
          <w:sz w:val="32"/>
          <w:szCs w:val="32"/>
          <w:highlight w:val="none"/>
        </w:rPr>
        <w:t>聚焦“锂机材纺纸”</w:t>
      </w:r>
      <w:r>
        <w:rPr>
          <w:rFonts w:hint="eastAsia" w:ascii="仿宋_GB2312" w:eastAsia="仿宋_GB2312"/>
          <w:color w:val="auto"/>
          <w:sz w:val="32"/>
          <w:szCs w:val="32"/>
          <w:highlight w:val="none"/>
          <w:lang w:val="en-US" w:eastAsia="zh-CN"/>
        </w:rPr>
        <w:t>五大主导产业</w:t>
      </w:r>
      <w:r>
        <w:rPr>
          <w:rFonts w:hint="eastAsia" w:ascii="仿宋_GB2312" w:eastAsia="仿宋_GB2312"/>
          <w:color w:val="auto"/>
          <w:sz w:val="32"/>
          <w:szCs w:val="32"/>
          <w:highlight w:val="none"/>
        </w:rPr>
        <w:t>，大力推广新技术、新工艺、新装备，加强生产设施改造提升，实施“机器换芯、生产换线、机器换人”，实现装备数控化、产线数字化、工厂智能化。实施制造业数字化转型提标行动，推进高端铸件V法生产线、纺纱成套设备智能化改造等项目建设。推动重点企业内部的工艺、设计、研发、控制及其产业链供应链上下游实现数据互联、共享协同。支持装备制造企业向“研发设计+生产制造+远程运维”服务型制造商转型，纺织服装企业向“B2C”大规模柔性定制转型，打造“制造业+数字服务”融合发展新模式。创新“诊断+改造+示范”服务模式，支持数字化服务商和数字化转型标杆企业提炼“小快轻准”解决方案，打造传统行业数字化改造样板。到2030年，基本完成一轮数字化改造，重点企业的产业链供应链上下游实现数据互联、共享协同。</w:t>
      </w:r>
    </w:p>
    <w:p w14:paraId="13C561EB">
      <w:pPr>
        <w:spacing w:line="600" w:lineRule="exact"/>
        <w:ind w:firstLine="643" w:firstLineChars="200"/>
        <w:rPr>
          <w:rFonts w:ascii="仿宋_GB2312" w:hAnsi="宋体" w:eastAsia="仿宋_GB2312"/>
          <w:color w:val="auto"/>
          <w:sz w:val="32"/>
          <w:szCs w:val="32"/>
          <w:highlight w:val="none"/>
        </w:rPr>
      </w:pPr>
      <w:r>
        <w:rPr>
          <w:rFonts w:hint="eastAsia" w:ascii="仿宋_GB2312" w:eastAsia="仿宋_GB2312"/>
          <w:b/>
          <w:color w:val="auto"/>
          <w:sz w:val="32"/>
          <w:szCs w:val="32"/>
          <w:highlight w:val="none"/>
        </w:rPr>
        <w:t>打造“人工智能+产业”场景</w:t>
      </w:r>
      <w:r>
        <w:rPr>
          <w:rFonts w:hint="eastAsia" w:ascii="仿宋_GB2312" w:eastAsia="仿宋_GB2312"/>
          <w:b/>
          <w:bCs/>
          <w:color w:val="auto"/>
          <w:sz w:val="32"/>
          <w:szCs w:val="32"/>
          <w:highlight w:val="none"/>
        </w:rPr>
        <w:t>。</w:t>
      </w:r>
      <w:r>
        <w:rPr>
          <w:rFonts w:hint="eastAsia" w:ascii="仿宋_GB2312" w:eastAsia="仿宋_GB2312"/>
          <w:color w:val="auto"/>
          <w:sz w:val="32"/>
          <w:szCs w:val="32"/>
          <w:highlight w:val="none"/>
        </w:rPr>
        <w:t>推进人工智能赋能新型工业化，优先在锂电</w:t>
      </w:r>
      <w:r>
        <w:rPr>
          <w:rFonts w:ascii="仿宋_GB2312" w:eastAsia="仿宋_GB2312"/>
          <w:color w:val="auto"/>
          <w:sz w:val="32"/>
          <w:szCs w:val="32"/>
          <w:highlight w:val="none"/>
        </w:rPr>
        <w:t>、</w:t>
      </w:r>
      <w:r>
        <w:rPr>
          <w:rFonts w:hint="eastAsia" w:ascii="仿宋_GB2312" w:eastAsia="仿宋_GB2312"/>
          <w:color w:val="auto"/>
          <w:sz w:val="32"/>
          <w:szCs w:val="32"/>
          <w:highlight w:val="none"/>
        </w:rPr>
        <w:t>船舶制造、绿色建材、</w:t>
      </w:r>
      <w:r>
        <w:rPr>
          <w:rFonts w:ascii="仿宋_GB2312" w:eastAsia="仿宋_GB2312"/>
          <w:color w:val="auto"/>
          <w:sz w:val="32"/>
          <w:szCs w:val="32"/>
          <w:highlight w:val="none"/>
        </w:rPr>
        <w:t>农业</w:t>
      </w:r>
      <w:r>
        <w:rPr>
          <w:rFonts w:hint="eastAsia" w:ascii="仿宋_GB2312" w:eastAsia="仿宋_GB2312"/>
          <w:color w:val="auto"/>
          <w:sz w:val="32"/>
          <w:szCs w:val="32"/>
          <w:highlight w:val="none"/>
        </w:rPr>
        <w:t>等行业推广大模型，加快人工智能在设计、中试、生产、服务、运营全环节落地应用。</w:t>
      </w:r>
      <w:r>
        <w:rPr>
          <w:rFonts w:hint="eastAsia" w:ascii="仿宋_GB2312" w:hAnsi="宋体" w:eastAsia="仿宋_GB2312"/>
          <w:color w:val="auto"/>
          <w:sz w:val="32"/>
          <w:szCs w:val="32"/>
          <w:highlight w:val="none"/>
        </w:rPr>
        <w:t>创新服务业发展模式，在交通、物流、旅游</w:t>
      </w:r>
      <w:r>
        <w:rPr>
          <w:rFonts w:ascii="仿宋_GB2312" w:hAnsi="宋体" w:eastAsia="仿宋_GB2312"/>
          <w:color w:val="auto"/>
          <w:sz w:val="32"/>
          <w:szCs w:val="32"/>
          <w:highlight w:val="none"/>
        </w:rPr>
        <w:t>、</w:t>
      </w:r>
      <w:r>
        <w:rPr>
          <w:rFonts w:hint="eastAsia" w:ascii="仿宋_GB2312" w:hAnsi="宋体" w:eastAsia="仿宋_GB2312"/>
          <w:color w:val="auto"/>
          <w:sz w:val="32"/>
          <w:szCs w:val="32"/>
          <w:highlight w:val="none"/>
        </w:rPr>
        <w:t>商</w:t>
      </w:r>
      <w:r>
        <w:rPr>
          <w:rFonts w:hint="eastAsia" w:ascii="仿宋_GB2312" w:eastAsia="仿宋_GB2312"/>
          <w:color w:val="auto"/>
          <w:sz w:val="32"/>
          <w:szCs w:val="32"/>
          <w:highlight w:val="none"/>
        </w:rPr>
        <w:t>贸、消费等领域，推动新一代智能终端、智能体等广泛应用，探索无人服务与人工服务相结合的新模式。加快农业数智化转型升级，支持应用智能农机、农业机器人等智能装备，推动AI深度赋能农业生产管理经营全环节，</w:t>
      </w:r>
      <w:r>
        <w:rPr>
          <w:rFonts w:hint="eastAsia" w:ascii="仿宋_GB2312" w:hAnsi="宋体" w:eastAsia="仿宋_GB2312"/>
          <w:color w:val="auto"/>
          <w:sz w:val="32"/>
          <w:szCs w:val="32"/>
          <w:highlight w:val="none"/>
        </w:rPr>
        <w:t>提升农业生产智能化水平和生产效率。</w:t>
      </w:r>
    </w:p>
    <w:p w14:paraId="505CF3E4">
      <w:pPr>
        <w:spacing w:line="600" w:lineRule="exact"/>
        <w:ind w:firstLine="643" w:firstLineChars="200"/>
        <w:rPr>
          <w:rFonts w:hint="eastAsia" w:ascii="仿宋_GB2312" w:eastAsia="仿宋_GB2312"/>
          <w:color w:val="auto"/>
          <w:sz w:val="32"/>
          <w:szCs w:val="32"/>
          <w:highlight w:val="none"/>
          <w:lang w:eastAsia="zh-CN"/>
        </w:rPr>
      </w:pPr>
      <w:r>
        <w:rPr>
          <w:rFonts w:ascii="Times New Roman" w:hAnsi="Times New Roman" w:eastAsia="仿宋_GB2312"/>
          <w:b/>
          <w:bCs/>
          <w:color w:val="auto"/>
          <w:sz w:val="32"/>
          <w:szCs w:val="40"/>
          <w:highlight w:val="none"/>
        </w:rPr>
        <w:t>完善数字基础设施</w:t>
      </w:r>
      <w:r>
        <w:rPr>
          <w:rFonts w:hint="eastAsia" w:ascii="Times New Roman" w:hAnsi="Times New Roman" w:eastAsia="仿宋_GB2312"/>
          <w:b/>
          <w:bCs/>
          <w:color w:val="auto"/>
          <w:sz w:val="32"/>
          <w:szCs w:val="40"/>
          <w:highlight w:val="none"/>
        </w:rPr>
        <w:t>底座</w:t>
      </w:r>
      <w:r>
        <w:rPr>
          <w:rFonts w:ascii="Times New Roman" w:hAnsi="Times New Roman" w:eastAsia="仿宋_GB2312"/>
          <w:b/>
          <w:bCs/>
          <w:color w:val="auto"/>
          <w:sz w:val="32"/>
          <w:szCs w:val="40"/>
          <w:highlight w:val="none"/>
        </w:rPr>
        <w:t>。</w:t>
      </w:r>
      <w:r>
        <w:rPr>
          <w:rFonts w:hint="eastAsia" w:ascii="仿宋_GB2312" w:eastAsia="仿宋_GB2312"/>
          <w:color w:val="auto"/>
          <w:sz w:val="32"/>
          <w:szCs w:val="32"/>
          <w:highlight w:val="none"/>
        </w:rPr>
        <w:t>加快推进5G基站建设，优化全区有线、无线网络，</w:t>
      </w:r>
      <w:r>
        <w:rPr>
          <w:rFonts w:ascii="Times New Roman" w:hAnsi="Times New Roman" w:eastAsia="仿宋_GB2312"/>
          <w:color w:val="auto"/>
          <w:sz w:val="32"/>
          <w:szCs w:val="40"/>
          <w:highlight w:val="none"/>
        </w:rPr>
        <w:t>推进经济开发区、</w:t>
      </w:r>
      <w:r>
        <w:rPr>
          <w:rFonts w:hint="eastAsia" w:ascii="Times New Roman" w:hAnsi="Times New Roman" w:eastAsia="仿宋_GB2312"/>
          <w:color w:val="auto"/>
          <w:sz w:val="32"/>
          <w:szCs w:val="40"/>
          <w:highlight w:val="none"/>
          <w:lang w:eastAsia="zh-CN"/>
        </w:rPr>
        <w:t>临港工业园</w:t>
      </w:r>
      <w:r>
        <w:rPr>
          <w:rFonts w:ascii="Times New Roman" w:hAnsi="Times New Roman" w:eastAsia="仿宋_GB2312"/>
          <w:color w:val="auto"/>
          <w:sz w:val="32"/>
          <w:szCs w:val="40"/>
          <w:highlight w:val="none"/>
        </w:rPr>
        <w:t>等工业聚集</w:t>
      </w:r>
      <w:r>
        <w:rPr>
          <w:rFonts w:ascii="仿宋_GB2312" w:eastAsia="仿宋_GB2312"/>
          <w:color w:val="auto"/>
          <w:sz w:val="32"/>
          <w:szCs w:val="32"/>
          <w:highlight w:val="none"/>
        </w:rPr>
        <w:t>区5G网络深度覆盖，为智能工厂、智慧港区建设提供硬件支撑</w:t>
      </w:r>
      <w:r>
        <w:rPr>
          <w:rFonts w:hint="eastAsia" w:ascii="仿宋_GB2312" w:eastAsia="仿宋_GB2312"/>
          <w:color w:val="auto"/>
          <w:sz w:val="32"/>
          <w:szCs w:val="32"/>
          <w:highlight w:val="none"/>
        </w:rPr>
        <w:t>。开展网络质量优化、补盲，加大</w:t>
      </w:r>
      <w:r>
        <w:rPr>
          <w:rFonts w:hint="eastAsia" w:ascii="仿宋_GB2312" w:eastAsia="仿宋_GB2312"/>
          <w:color w:val="auto"/>
          <w:sz w:val="32"/>
          <w:szCs w:val="32"/>
          <w:highlight w:val="none"/>
          <w:lang w:val="en-US" w:eastAsia="zh-CN"/>
        </w:rPr>
        <w:t>镇街</w:t>
      </w:r>
      <w:r>
        <w:rPr>
          <w:rFonts w:hint="eastAsia" w:ascii="仿宋_GB2312" w:eastAsia="仿宋_GB2312"/>
          <w:color w:val="auto"/>
          <w:sz w:val="32"/>
          <w:szCs w:val="32"/>
          <w:highlight w:val="none"/>
        </w:rPr>
        <w:t>、农村地区的建设和投资力度，加强薄弱地区信号覆盖，促进城市和农村通信网络均衡发展。</w:t>
      </w:r>
      <w:r>
        <w:rPr>
          <w:rFonts w:ascii="仿宋_GB2312" w:eastAsia="仿宋_GB2312"/>
          <w:color w:val="auto"/>
          <w:sz w:val="32"/>
          <w:szCs w:val="32"/>
          <w:highlight w:val="none"/>
        </w:rPr>
        <w:t>整合全</w:t>
      </w:r>
      <w:r>
        <w:rPr>
          <w:rFonts w:hint="eastAsia" w:ascii="仿宋_GB2312" w:eastAsia="仿宋_GB2312"/>
          <w:color w:val="auto"/>
          <w:sz w:val="32"/>
          <w:szCs w:val="32"/>
          <w:highlight w:val="none"/>
        </w:rPr>
        <w:t>区</w:t>
      </w:r>
      <w:r>
        <w:rPr>
          <w:rFonts w:ascii="仿宋_GB2312" w:eastAsia="仿宋_GB2312"/>
          <w:color w:val="auto"/>
          <w:sz w:val="32"/>
          <w:szCs w:val="32"/>
          <w:highlight w:val="none"/>
        </w:rPr>
        <w:t>数据基础设施，实现数据资源集约共建、能力共用、数据共享。</w:t>
      </w:r>
      <w:r>
        <w:rPr>
          <w:rFonts w:hint="eastAsia" w:ascii="仿宋_GB2312" w:eastAsia="仿宋_GB2312"/>
          <w:color w:val="auto"/>
          <w:sz w:val="32"/>
          <w:szCs w:val="32"/>
          <w:highlight w:val="none"/>
        </w:rPr>
        <w:t>加快工业互联网平台建设，引导行业龙头企业建设行业级工业互联网平台</w:t>
      </w:r>
      <w:r>
        <w:rPr>
          <w:rFonts w:hint="eastAsia" w:ascii="仿宋_GB2312" w:eastAsia="仿宋_GB2312"/>
          <w:color w:val="auto"/>
          <w:sz w:val="32"/>
          <w:szCs w:val="32"/>
          <w:highlight w:val="none"/>
          <w:lang w:eastAsia="zh-CN"/>
        </w:rPr>
        <w:t>。</w:t>
      </w:r>
    </w:p>
    <w:p w14:paraId="190E4A27">
      <w:pPr>
        <w:pStyle w:val="6"/>
        <w:bidi w:val="0"/>
        <w:rPr>
          <w:color w:val="auto"/>
          <w:highlight w:val="none"/>
        </w:rPr>
      </w:pPr>
      <w:bookmarkStart w:id="11" w:name="_Toc10974"/>
      <w:r>
        <w:rPr>
          <w:rFonts w:hint="eastAsia"/>
          <w:color w:val="auto"/>
          <w:highlight w:val="none"/>
        </w:rPr>
        <w:t>第</w:t>
      </w:r>
      <w:r>
        <w:rPr>
          <w:rFonts w:hint="eastAsia"/>
          <w:color w:val="auto"/>
          <w:highlight w:val="none"/>
          <w:lang w:val="en-US" w:eastAsia="zh-CN"/>
        </w:rPr>
        <w:t>五</w:t>
      </w:r>
      <w:r>
        <w:rPr>
          <w:rFonts w:hint="eastAsia"/>
          <w:color w:val="auto"/>
          <w:highlight w:val="none"/>
        </w:rPr>
        <w:t>节 推动园区经济提质增效</w:t>
      </w:r>
      <w:bookmarkEnd w:id="11"/>
    </w:p>
    <w:p w14:paraId="6BF62EEB">
      <w:pPr>
        <w:pStyle w:val="12"/>
        <w:adjustRightInd w:val="0"/>
        <w:snapToGrid w:val="0"/>
        <w:spacing w:line="600" w:lineRule="exact"/>
        <w:ind w:firstLine="643" w:firstLineChars="200"/>
        <w:rPr>
          <w:rFonts w:hint="eastAsia" w:ascii="仿宋_GB2312" w:eastAsia="仿宋_GB2312"/>
          <w:color w:val="auto"/>
          <w:sz w:val="32"/>
          <w:szCs w:val="32"/>
          <w:highlight w:val="none"/>
        </w:rPr>
      </w:pPr>
      <w:r>
        <w:rPr>
          <w:rFonts w:hint="eastAsia" w:ascii="仿宋_GB2312" w:eastAsia="仿宋_GB2312"/>
          <w:b/>
          <w:bCs/>
          <w:color w:val="auto"/>
          <w:sz w:val="32"/>
          <w:szCs w:val="32"/>
          <w:highlight w:val="none"/>
        </w:rPr>
        <w:t>推进经济开发区提质升级。</w:t>
      </w:r>
      <w:r>
        <w:rPr>
          <w:rFonts w:hint="eastAsia" w:ascii="仿宋_GB2312" w:eastAsia="仿宋_GB2312"/>
          <w:b w:val="0"/>
          <w:bCs w:val="0"/>
          <w:color w:val="auto"/>
          <w:sz w:val="32"/>
          <w:szCs w:val="32"/>
          <w:highlight w:val="none"/>
        </w:rPr>
        <w:t>更好发挥经济开发区</w:t>
      </w:r>
      <w:r>
        <w:rPr>
          <w:rFonts w:hint="eastAsia" w:ascii="仿宋_GB2312" w:eastAsia="仿宋_GB2312"/>
          <w:b w:val="0"/>
          <w:bCs w:val="0"/>
          <w:color w:val="auto"/>
          <w:sz w:val="32"/>
          <w:szCs w:val="32"/>
          <w:highlight w:val="none"/>
          <w:lang w:val="en-US" w:eastAsia="zh-CN"/>
        </w:rPr>
        <w:t>在</w:t>
      </w:r>
      <w:r>
        <w:rPr>
          <w:rFonts w:hint="eastAsia" w:ascii="仿宋_GB2312" w:eastAsia="仿宋_GB2312"/>
          <w:b w:val="0"/>
          <w:bCs w:val="0"/>
          <w:color w:val="auto"/>
          <w:sz w:val="32"/>
          <w:szCs w:val="32"/>
          <w:highlight w:val="none"/>
        </w:rPr>
        <w:t>经济建设</w:t>
      </w:r>
      <w:r>
        <w:rPr>
          <w:rFonts w:hint="eastAsia" w:ascii="仿宋_GB2312" w:eastAsia="仿宋_GB2312"/>
          <w:b w:val="0"/>
          <w:bCs w:val="0"/>
          <w:color w:val="auto"/>
          <w:sz w:val="32"/>
          <w:szCs w:val="32"/>
          <w:highlight w:val="none"/>
          <w:lang w:val="en-US" w:eastAsia="zh-CN"/>
        </w:rPr>
        <w:t>的</w:t>
      </w:r>
      <w:r>
        <w:rPr>
          <w:rFonts w:hint="eastAsia" w:ascii="仿宋_GB2312" w:eastAsia="仿宋_GB2312"/>
          <w:b w:val="0"/>
          <w:bCs w:val="0"/>
          <w:color w:val="auto"/>
          <w:sz w:val="32"/>
          <w:szCs w:val="32"/>
          <w:highlight w:val="none"/>
        </w:rPr>
        <w:t>“主引擎”作用，加快扩区调区步伐，持续壮大特色主导产业。巩固园区体制机制改革创新成果，深化推行“管委会+公司”运行模式，建立更加灵活实用的开发运营机制，提高园区服务管理效能，激发经济开发区改革创新活力和内生动力。实施园区基础设施提质行动，补齐园区路网短板，推进玉山路、台中路、工业二路等道路建设，完善配套建设污水收集、监测、处理等设施，打通向西滚动发展新格局。</w:t>
      </w:r>
      <w:r>
        <w:rPr>
          <w:rFonts w:hint="eastAsia" w:ascii="仿宋_GB2312" w:eastAsia="仿宋_GB2312"/>
          <w:b w:val="0"/>
          <w:bCs w:val="0"/>
          <w:color w:val="auto"/>
          <w:sz w:val="32"/>
          <w:szCs w:val="32"/>
          <w:highlight w:val="none"/>
          <w:lang w:val="en-US" w:eastAsia="zh-CN"/>
        </w:rPr>
        <w:t>积极</w:t>
      </w:r>
      <w:r>
        <w:rPr>
          <w:rFonts w:hint="eastAsia" w:ascii="仿宋_GB2312" w:eastAsia="仿宋_GB2312"/>
          <w:b w:val="0"/>
          <w:bCs w:val="0"/>
          <w:color w:val="auto"/>
          <w:sz w:val="32"/>
          <w:szCs w:val="32"/>
          <w:highlight w:val="none"/>
        </w:rPr>
        <w:t>推动</w:t>
      </w:r>
      <w:r>
        <w:rPr>
          <w:rFonts w:hint="eastAsia" w:ascii="仿宋_GB2312" w:eastAsia="仿宋_GB2312"/>
          <w:b w:val="0"/>
          <w:bCs w:val="0"/>
          <w:color w:val="auto"/>
          <w:sz w:val="32"/>
          <w:szCs w:val="32"/>
          <w:highlight w:val="none"/>
          <w:lang w:val="en-US" w:eastAsia="zh-CN"/>
        </w:rPr>
        <w:t>源网荷储云项目建设，探索布局智能微电网、绿电直连等新型电力系统，推动建设分布式新能源、储能等一批关键能源设施，大力推进光伏、风电等清洁能源利用，显著提升清洁能源渗透率。合力推进</w:t>
      </w:r>
      <w:r>
        <w:rPr>
          <w:rFonts w:hint="eastAsia" w:ascii="仿宋_GB2312" w:eastAsia="仿宋_GB2312"/>
          <w:b w:val="0"/>
          <w:bCs w:val="0"/>
          <w:color w:val="auto"/>
          <w:sz w:val="32"/>
          <w:szCs w:val="32"/>
          <w:highlight w:val="none"/>
        </w:rPr>
        <w:t>经济开发区</w:t>
      </w:r>
      <w:r>
        <w:rPr>
          <w:rFonts w:hint="eastAsia" w:ascii="仿宋_GB2312" w:eastAsia="仿宋_GB2312"/>
          <w:b w:val="0"/>
          <w:bCs w:val="0"/>
          <w:color w:val="auto"/>
          <w:sz w:val="32"/>
          <w:szCs w:val="32"/>
          <w:highlight w:val="none"/>
          <w:lang w:val="en-US" w:eastAsia="zh-CN"/>
        </w:rPr>
        <w:t>闲置低效用地盘活，提升市场效益</w:t>
      </w:r>
      <w:r>
        <w:rPr>
          <w:rFonts w:hint="eastAsia" w:ascii="仿宋_GB2312" w:eastAsia="仿宋_GB2312"/>
          <w:b w:val="0"/>
          <w:bCs w:val="0"/>
          <w:color w:val="auto"/>
          <w:sz w:val="32"/>
          <w:szCs w:val="32"/>
          <w:highlight w:val="none"/>
        </w:rPr>
        <w:t>。到2030年，经济开发区主要经济指标年均增速高于全区平均水平1</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eastAsia="仿宋_GB2312"/>
          <w:b w:val="0"/>
          <w:bCs w:val="0"/>
          <w:color w:val="auto"/>
          <w:sz w:val="32"/>
          <w:szCs w:val="32"/>
          <w:highlight w:val="none"/>
        </w:rPr>
        <w:t>2个百分点以上、经济总量占全区比重达到</w:t>
      </w:r>
      <w:r>
        <w:rPr>
          <w:rFonts w:hint="eastAsia" w:ascii="仿宋_GB2312" w:eastAsia="仿宋_GB2312"/>
          <w:b w:val="0"/>
          <w:bCs w:val="0"/>
          <w:color w:val="auto"/>
          <w:sz w:val="32"/>
          <w:szCs w:val="32"/>
          <w:highlight w:val="none"/>
          <w:lang w:val="en-US" w:eastAsia="zh-CN"/>
        </w:rPr>
        <w:t>7</w:t>
      </w:r>
      <w:r>
        <w:rPr>
          <w:rFonts w:hint="eastAsia" w:ascii="仿宋_GB2312" w:eastAsia="仿宋_GB2312"/>
          <w:b w:val="0"/>
          <w:bCs w:val="0"/>
          <w:color w:val="auto"/>
          <w:sz w:val="32"/>
          <w:szCs w:val="32"/>
          <w:highlight w:val="none"/>
        </w:rPr>
        <w:t>0%</w:t>
      </w:r>
      <w:r>
        <w:rPr>
          <w:rFonts w:hint="eastAsia" w:ascii="仿宋_GB2312" w:eastAsia="仿宋_GB2312"/>
          <w:color w:val="auto"/>
          <w:sz w:val="32"/>
          <w:szCs w:val="32"/>
          <w:highlight w:val="none"/>
        </w:rPr>
        <w:t>。</w:t>
      </w:r>
    </w:p>
    <w:p w14:paraId="774CE218">
      <w:pPr>
        <w:pStyle w:val="12"/>
        <w:adjustRightInd w:val="0"/>
        <w:snapToGrid w:val="0"/>
        <w:spacing w:line="600" w:lineRule="exact"/>
        <w:ind w:firstLine="643" w:firstLineChars="200"/>
        <w:rPr>
          <w:rFonts w:hint="default"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rPr>
        <w:t>培育打造专业化园区。</w:t>
      </w:r>
      <w:r>
        <w:rPr>
          <w:rFonts w:hint="eastAsia" w:ascii="仿宋_GB2312" w:hAnsi="仿宋_GB2312" w:eastAsia="仿宋_GB2312" w:cs="仿宋_GB2312"/>
          <w:b w:val="0"/>
          <w:bCs w:val="0"/>
          <w:color w:val="auto"/>
          <w:sz w:val="32"/>
          <w:szCs w:val="32"/>
          <w:highlight w:val="none"/>
        </w:rPr>
        <w:t>聚焦锂电、造纸、食品、船舶制造等产业，培育一批定位清晰、特色鲜明的专业化园区，促进产业集聚与生态培育。建设黄岛产业园，深化与黄岛在供应链、项目承接、配套协作、外资外贸及文旅等领域的合作，打造产业转型与招商主载体。依托京杭大运河航运枢纽，推进临港工业园建设，发展临港产业与配套服务。坚定锂电产业首位度，将锂电新能源产业园建成全国领先的锂电材料生产基地。抢抓低空经济机遇，完善低空经济基础设施，重点发展低空飞行保障服务，协同发展装备制造。建设台南铸造园，发展高端铸造</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rPr>
        <w:t>延伸不锈钢产业园精深加工链条</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rPr>
        <w:t>布局</w:t>
      </w:r>
      <w:r>
        <w:rPr>
          <w:rFonts w:hint="eastAsia" w:ascii="Times New Roman" w:hAnsi="Times New Roman" w:eastAsia="仿宋_GB2312" w:cs="Times New Roman"/>
          <w:color w:val="auto"/>
          <w:sz w:val="32"/>
          <w:szCs w:val="32"/>
          <w:highlight w:val="none"/>
          <w:lang w:val="en-US" w:eastAsia="zh-CN"/>
        </w:rPr>
        <w:t>纸基新材料</w:t>
      </w:r>
      <w:r>
        <w:rPr>
          <w:rFonts w:hint="eastAsia" w:ascii="仿宋_GB2312" w:hAnsi="仿宋_GB2312" w:eastAsia="仿宋_GB2312" w:cs="仿宋_GB2312"/>
          <w:b w:val="0"/>
          <w:bCs w:val="0"/>
          <w:color w:val="auto"/>
          <w:sz w:val="32"/>
          <w:szCs w:val="32"/>
          <w:highlight w:val="none"/>
        </w:rPr>
        <w:t>产业园，推动特种纸与绿色包装升级。打造电动工具产业园，集聚电动车、电动工具项目，形成研发生产一体的高端装备制造基地。推动启航智能制造科创园建设绿色高端构件生产基地。发展绿色建材产业园，重点生产绿色墙体材料、纳米钙、水泥预制件等。通过完善配套、强化招商、推动集聚，构建定位清晰、功能互补的专业化园区格局，为区域高质量发展注入持续动力。</w:t>
      </w:r>
    </w:p>
    <w:p w14:paraId="447314E9">
      <w:pPr>
        <w:pStyle w:val="12"/>
        <w:adjustRightInd w:val="0"/>
        <w:snapToGrid w:val="0"/>
        <w:spacing w:line="600" w:lineRule="exact"/>
        <w:ind w:firstLine="640" w:firstLineChars="200"/>
        <w:rPr>
          <w:rFonts w:hint="eastAsia" w:ascii="仿宋_GB2312" w:hAnsi="仿宋_GB2312" w:eastAsia="仿宋_GB2312" w:cs="仿宋_GB2312"/>
          <w:color w:val="auto"/>
          <w:sz w:val="32"/>
          <w:szCs w:val="32"/>
          <w:highlight w:val="none"/>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57A1F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noWrap w:val="0"/>
            <w:vAlign w:val="center"/>
          </w:tcPr>
          <w:p w14:paraId="6636A572">
            <w:pPr>
              <w:jc w:val="center"/>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专栏</w:t>
            </w:r>
            <w:r>
              <w:rPr>
                <w:rFonts w:hint="eastAsia" w:ascii="黑体" w:hAnsi="黑体" w:eastAsia="黑体" w:cs="宋体"/>
                <w:bCs/>
                <w:color w:val="auto"/>
                <w:sz w:val="28"/>
                <w:szCs w:val="28"/>
                <w:highlight w:val="none"/>
                <w:lang w:val="en-US" w:eastAsia="zh-CN"/>
              </w:rPr>
              <w:t>2</w:t>
            </w:r>
            <w:r>
              <w:rPr>
                <w:rFonts w:hint="eastAsia" w:ascii="黑体" w:hAnsi="黑体" w:eastAsia="黑体" w:cs="宋体"/>
                <w:bCs/>
                <w:color w:val="auto"/>
                <w:sz w:val="28"/>
                <w:szCs w:val="28"/>
                <w:highlight w:val="none"/>
              </w:rPr>
              <w:t>：园区经济重点项目</w:t>
            </w:r>
          </w:p>
        </w:tc>
      </w:tr>
      <w:tr w14:paraId="0A794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noWrap w:val="0"/>
            <w:vAlign w:val="top"/>
          </w:tcPr>
          <w:p w14:paraId="785EDBA9">
            <w:pPr>
              <w:keepNext w:val="0"/>
              <w:keepLines w:val="0"/>
              <w:pageBreakBefore w:val="0"/>
              <w:widowControl w:val="0"/>
              <w:kinsoku/>
              <w:wordWrap/>
              <w:overflowPunct/>
              <w:topLinePunct w:val="0"/>
              <w:autoSpaceDE/>
              <w:autoSpaceDN/>
              <w:bidi w:val="0"/>
              <w:adjustRightInd/>
              <w:snapToGrid/>
              <w:spacing w:line="600" w:lineRule="exact"/>
              <w:ind w:firstLine="562" w:firstLineChars="200"/>
              <w:textAlignment w:val="auto"/>
              <w:rPr>
                <w:rFonts w:hint="eastAsia" w:ascii="仿宋_GB2312" w:hAnsi="宋体" w:eastAsia="仿宋_GB2312" w:cs="宋体"/>
                <w:bCs/>
                <w:color w:val="auto"/>
                <w:sz w:val="28"/>
                <w:szCs w:val="28"/>
                <w:highlight w:val="none"/>
                <w:lang w:eastAsia="zh-CN"/>
              </w:rPr>
            </w:pPr>
            <w:r>
              <w:rPr>
                <w:rFonts w:hint="eastAsia" w:ascii="仿宋_GB2312" w:hAnsi="宋体" w:eastAsia="仿宋_GB2312" w:cs="宋体"/>
                <w:b/>
                <w:bCs w:val="0"/>
                <w:color w:val="auto"/>
                <w:sz w:val="28"/>
                <w:szCs w:val="28"/>
                <w:highlight w:val="none"/>
              </w:rPr>
              <w:t>经济开发区：</w:t>
            </w:r>
            <w:r>
              <w:rPr>
                <w:rFonts w:hint="eastAsia" w:ascii="仿宋_GB2312" w:hAnsi="宋体" w:eastAsia="仿宋_GB2312" w:cs="宋体"/>
                <w:bCs/>
                <w:color w:val="auto"/>
                <w:sz w:val="28"/>
                <w:szCs w:val="28"/>
                <w:highlight w:val="none"/>
                <w:lang w:eastAsia="zh-CN"/>
              </w:rPr>
              <w:t>（</w:t>
            </w:r>
            <w:r>
              <w:rPr>
                <w:rFonts w:hint="eastAsia" w:ascii="仿宋_GB2312" w:hAnsi="宋体" w:eastAsia="仿宋_GB2312" w:cs="宋体"/>
                <w:bCs/>
                <w:color w:val="auto"/>
                <w:sz w:val="28"/>
                <w:szCs w:val="28"/>
                <w:highlight w:val="none"/>
                <w:lang w:val="en-US" w:eastAsia="zh-CN"/>
              </w:rPr>
              <w:t>1</w:t>
            </w:r>
            <w:r>
              <w:rPr>
                <w:rFonts w:hint="eastAsia" w:ascii="仿宋_GB2312" w:hAnsi="宋体" w:eastAsia="仿宋_GB2312" w:cs="宋体"/>
                <w:bCs/>
                <w:color w:val="auto"/>
                <w:sz w:val="28"/>
                <w:szCs w:val="28"/>
                <w:highlight w:val="none"/>
                <w:lang w:eastAsia="zh-CN"/>
              </w:rPr>
              <w:t>）</w:t>
            </w:r>
            <w:r>
              <w:rPr>
                <w:rFonts w:hint="eastAsia" w:ascii="仿宋_GB2312" w:hAnsi="宋体" w:eastAsia="仿宋_GB2312" w:cs="宋体"/>
                <w:bCs/>
                <w:color w:val="auto"/>
                <w:sz w:val="28"/>
                <w:szCs w:val="28"/>
                <w:highlight w:val="none"/>
              </w:rPr>
              <w:t>枣庄市绿色建筑研发创新及智能制造示范基地项目</w:t>
            </w:r>
            <w:r>
              <w:rPr>
                <w:rFonts w:hint="eastAsia" w:ascii="仿宋_GB2312" w:hAnsi="宋体" w:eastAsia="仿宋_GB2312" w:cs="宋体"/>
                <w:bCs/>
                <w:color w:val="auto"/>
                <w:sz w:val="28"/>
                <w:szCs w:val="28"/>
                <w:highlight w:val="none"/>
                <w:lang w:eastAsia="zh-CN"/>
              </w:rPr>
              <w:t>。</w:t>
            </w:r>
          </w:p>
          <w:p w14:paraId="101DD57D">
            <w:pPr>
              <w:keepNext w:val="0"/>
              <w:keepLines w:val="0"/>
              <w:pageBreakBefore w:val="0"/>
              <w:widowControl w:val="0"/>
              <w:kinsoku/>
              <w:wordWrap/>
              <w:overflowPunct/>
              <w:topLinePunct w:val="0"/>
              <w:autoSpaceDE/>
              <w:autoSpaceDN/>
              <w:bidi w:val="0"/>
              <w:adjustRightInd/>
              <w:snapToGrid/>
              <w:spacing w:line="600" w:lineRule="exact"/>
              <w:ind w:firstLine="562" w:firstLineChars="200"/>
              <w:textAlignment w:val="auto"/>
              <w:rPr>
                <w:rFonts w:hint="eastAsia" w:ascii="仿宋_GB2312" w:hAnsi="宋体" w:eastAsia="仿宋_GB2312" w:cs="宋体"/>
                <w:bCs/>
                <w:color w:val="auto"/>
                <w:sz w:val="28"/>
                <w:szCs w:val="28"/>
                <w:highlight w:val="none"/>
                <w:lang w:eastAsia="zh-CN"/>
              </w:rPr>
            </w:pPr>
            <w:r>
              <w:rPr>
                <w:rFonts w:hint="eastAsia" w:ascii="仿宋_GB2312" w:hAnsi="宋体" w:eastAsia="仿宋_GB2312" w:cs="宋体"/>
                <w:b/>
                <w:bCs w:val="0"/>
                <w:color w:val="auto"/>
                <w:sz w:val="28"/>
                <w:szCs w:val="28"/>
                <w:highlight w:val="none"/>
              </w:rPr>
              <w:t>特色产业园区：</w:t>
            </w:r>
            <w:r>
              <w:rPr>
                <w:rFonts w:hint="eastAsia" w:ascii="仿宋_GB2312" w:hAnsi="宋体" w:eastAsia="仿宋_GB2312" w:cs="宋体"/>
                <w:bCs/>
                <w:color w:val="auto"/>
                <w:sz w:val="28"/>
                <w:szCs w:val="28"/>
                <w:highlight w:val="none"/>
                <w:lang w:eastAsia="zh-CN"/>
              </w:rPr>
              <w:t>（</w:t>
            </w:r>
            <w:r>
              <w:rPr>
                <w:rFonts w:hint="eastAsia" w:ascii="仿宋_GB2312" w:hAnsi="宋体" w:eastAsia="仿宋_GB2312" w:cs="宋体"/>
                <w:bCs/>
                <w:color w:val="auto"/>
                <w:sz w:val="28"/>
                <w:szCs w:val="28"/>
                <w:highlight w:val="none"/>
                <w:lang w:val="en-US" w:eastAsia="zh-CN"/>
              </w:rPr>
              <w:t>1</w:t>
            </w:r>
            <w:r>
              <w:rPr>
                <w:rFonts w:hint="eastAsia" w:ascii="仿宋_GB2312" w:hAnsi="宋体" w:eastAsia="仿宋_GB2312" w:cs="宋体"/>
                <w:bCs/>
                <w:color w:val="auto"/>
                <w:sz w:val="28"/>
                <w:szCs w:val="28"/>
                <w:highlight w:val="none"/>
                <w:lang w:eastAsia="zh-CN"/>
              </w:rPr>
              <w:t>）</w:t>
            </w:r>
            <w:r>
              <w:rPr>
                <w:rFonts w:hint="eastAsia" w:ascii="仿宋_GB2312" w:hAnsi="宋体" w:eastAsia="仿宋_GB2312" w:cs="宋体"/>
                <w:bCs/>
                <w:color w:val="auto"/>
                <w:sz w:val="28"/>
                <w:szCs w:val="28"/>
                <w:highlight w:val="none"/>
                <w:lang w:val="en-US" w:eastAsia="zh-CN"/>
              </w:rPr>
              <w:t>锂电产业园（2）黄岛产业园（3）电动工具产业园（4）台南铸造园（5）临港工业园（6）纸基新材料产业园（7）低空经济服务保障基地（8）启航智能制造科创园（9）不锈钢产业园（10）绿色建材产业园。</w:t>
            </w:r>
          </w:p>
        </w:tc>
      </w:tr>
    </w:tbl>
    <w:p w14:paraId="3A3CDF33">
      <w:pPr>
        <w:bidi w:val="0"/>
        <w:rPr>
          <w:rFonts w:hint="eastAsia"/>
          <w:color w:val="auto"/>
          <w:highlight w:val="none"/>
          <w:lang w:val="en-US" w:eastAsia="zh-CN"/>
        </w:rPr>
        <w:sectPr>
          <w:footnotePr>
            <w:numFmt w:val="decimalEnclosedCircleChinese"/>
            <w:numRestart w:val="eachPage"/>
          </w:footnotePr>
          <w:pgSz w:w="11906" w:h="16838"/>
          <w:pgMar w:top="1984" w:right="1587" w:bottom="1701" w:left="1587" w:header="851" w:footer="1134" w:gutter="0"/>
          <w:pgNumType w:fmt="numberInDash"/>
          <w:cols w:space="720" w:num="1"/>
          <w:docGrid w:type="lines" w:linePitch="312" w:charSpace="0"/>
        </w:sectPr>
      </w:pPr>
    </w:p>
    <w:p w14:paraId="02A509FC">
      <w:pPr>
        <w:pStyle w:val="5"/>
        <w:pageBreakBefore w:val="0"/>
        <w:widowControl w:val="0"/>
        <w:kinsoku/>
        <w:wordWrap/>
        <w:overflowPunct/>
        <w:topLinePunct w:val="0"/>
        <w:autoSpaceDE/>
        <w:bidi w:val="0"/>
        <w:adjustRightInd w:val="0"/>
        <w:snapToGrid w:val="0"/>
        <w:spacing w:before="240" w:after="240" w:line="600" w:lineRule="exact"/>
        <w:jc w:val="center"/>
        <w:textAlignment w:val="auto"/>
        <w:rPr>
          <w:rFonts w:ascii="黑体" w:hAnsi="黑体" w:eastAsia="黑体"/>
          <w:b w:val="0"/>
          <w:bCs w:val="0"/>
          <w:color w:val="auto"/>
          <w:sz w:val="32"/>
          <w:szCs w:val="32"/>
          <w:highlight w:val="none"/>
        </w:rPr>
      </w:pPr>
      <w:bookmarkStart w:id="12" w:name="_Toc22338"/>
      <w:r>
        <w:rPr>
          <w:rFonts w:hint="eastAsia" w:ascii="黑体" w:hAnsi="黑体" w:eastAsia="黑体"/>
          <w:b w:val="0"/>
          <w:bCs w:val="0"/>
          <w:color w:val="auto"/>
          <w:sz w:val="32"/>
          <w:szCs w:val="32"/>
          <w:highlight w:val="none"/>
        </w:rPr>
        <w:t>第三章 突出科技与产业融合，引领发展新质生产力</w:t>
      </w:r>
      <w:bookmarkEnd w:id="12"/>
    </w:p>
    <w:p w14:paraId="6E7BC6DD">
      <w:pPr>
        <w:pageBreakBefore w:val="0"/>
        <w:widowControl w:val="0"/>
        <w:kinsoku/>
        <w:wordWrap/>
        <w:overflowPunct/>
        <w:topLinePunct w:val="0"/>
        <w:autoSpaceDE/>
        <w:bidi w:val="0"/>
        <w:adjustRightInd w:val="0"/>
        <w:snapToGrid w:val="0"/>
        <w:spacing w:line="60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宋体" w:eastAsia="仿宋_GB2312"/>
          <w:color w:val="auto"/>
          <w:sz w:val="32"/>
          <w:szCs w:val="32"/>
          <w:highlight w:val="none"/>
        </w:rPr>
        <w:t>瞄准培育新质生产力方向，深入实施科教兴区、人才强区和创新驱动发展战略，一体推进教育科技人才发展，抓好创新平台建设、创新主体培育、创新人才引育、创新生态营造，推动科技创新与产业创新深度融合、双轮驱动。到2030年，</w:t>
      </w:r>
      <w:r>
        <w:rPr>
          <w:rFonts w:hint="eastAsia" w:ascii="仿宋_GB2312" w:hAnsi="仿宋_GB2312" w:eastAsia="仿宋_GB2312" w:cs="仿宋_GB2312"/>
          <w:color w:val="auto"/>
          <w:sz w:val="32"/>
          <w:szCs w:val="32"/>
          <w:highlight w:val="none"/>
        </w:rPr>
        <w:t>科技创新能力稳步提升，高新技术产业产值占规模以上工业产值比重达到</w:t>
      </w:r>
      <w:r>
        <w:rPr>
          <w:rFonts w:hint="eastAsia" w:ascii="仿宋_GB2312" w:hAnsi="仿宋_GB2312" w:eastAsia="仿宋_GB2312" w:cs="仿宋_GB2312"/>
          <w:color w:val="auto"/>
          <w:sz w:val="32"/>
          <w:szCs w:val="32"/>
          <w:highlight w:val="none"/>
          <w:lang w:val="en-US" w:eastAsia="zh-CN"/>
        </w:rPr>
        <w:t>58</w:t>
      </w:r>
      <w:r>
        <w:rPr>
          <w:rFonts w:hint="eastAsia" w:ascii="仿宋_GB2312" w:hAnsi="仿宋_GB2312" w:eastAsia="仿宋_GB2312" w:cs="仿宋_GB2312"/>
          <w:color w:val="auto"/>
          <w:sz w:val="32"/>
          <w:szCs w:val="32"/>
          <w:highlight w:val="none"/>
        </w:rPr>
        <w:t>%左右。</w:t>
      </w:r>
    </w:p>
    <w:p w14:paraId="3A543C3A">
      <w:pPr>
        <w:pStyle w:val="6"/>
        <w:pageBreakBefore w:val="0"/>
        <w:widowControl w:val="0"/>
        <w:kinsoku/>
        <w:wordWrap/>
        <w:overflowPunct/>
        <w:topLinePunct w:val="0"/>
        <w:autoSpaceDE/>
        <w:bidi w:val="0"/>
        <w:spacing w:line="600" w:lineRule="exact"/>
        <w:textAlignment w:val="auto"/>
        <w:rPr>
          <w:rFonts w:hint="eastAsia"/>
          <w:color w:val="auto"/>
          <w:highlight w:val="none"/>
        </w:rPr>
      </w:pPr>
      <w:bookmarkStart w:id="13" w:name="_Toc29783"/>
      <w:r>
        <w:rPr>
          <w:rFonts w:hint="eastAsia"/>
          <w:color w:val="auto"/>
          <w:highlight w:val="none"/>
        </w:rPr>
        <w:t>第一节 建强高能级创新平台</w:t>
      </w:r>
      <w:bookmarkEnd w:id="13"/>
    </w:p>
    <w:p w14:paraId="6A9E8777">
      <w:pPr>
        <w:pageBreakBefore w:val="0"/>
        <w:widowControl w:val="0"/>
        <w:kinsoku/>
        <w:wordWrap/>
        <w:overflowPunct/>
        <w:topLinePunct w:val="0"/>
        <w:autoSpaceDE/>
        <w:bidi w:val="0"/>
        <w:adjustRightInd w:val="0"/>
        <w:snapToGrid w:val="0"/>
        <w:spacing w:line="600" w:lineRule="exact"/>
        <w:ind w:firstLine="643" w:firstLineChars="200"/>
        <w:textAlignment w:val="auto"/>
        <w:rPr>
          <w:rFonts w:ascii="Times New Roman" w:hAnsi="Times New Roman" w:eastAsia="仿宋_GB2312"/>
          <w:color w:val="auto"/>
          <w:sz w:val="32"/>
          <w:szCs w:val="32"/>
          <w:highlight w:val="none"/>
        </w:rPr>
      </w:pPr>
      <w:r>
        <w:rPr>
          <w:rFonts w:hint="eastAsia" w:ascii="Times New Roman" w:hAnsi="Times New Roman" w:eastAsia="仿宋_GB2312"/>
          <w:b/>
          <w:bCs/>
          <w:color w:val="auto"/>
          <w:sz w:val="32"/>
          <w:szCs w:val="32"/>
          <w:highlight w:val="none"/>
        </w:rPr>
        <w:t>提升打造存量平台。</w:t>
      </w:r>
      <w:r>
        <w:rPr>
          <w:rFonts w:hint="eastAsia" w:ascii="Times New Roman" w:hAnsi="Times New Roman" w:eastAsia="仿宋_GB2312"/>
          <w:b w:val="0"/>
          <w:bCs w:val="0"/>
          <w:color w:val="auto"/>
          <w:sz w:val="32"/>
          <w:szCs w:val="32"/>
          <w:highlight w:val="none"/>
        </w:rPr>
        <w:t>实施平台载体提能筑峰行动，加强各级科技创新平台建设与运行管理，开展行业和产业关键共性技术研发和科研成果工程化、产业化研究，打造产业技术创新资源的重要聚集地。发挥</w:t>
      </w:r>
      <w:r>
        <w:rPr>
          <w:rFonts w:hint="eastAsia" w:ascii="仿宋_GB2312" w:hAnsi="仿宋_GB2312" w:eastAsia="仿宋_GB2312" w:cs="仿宋_GB2312"/>
          <w:strike w:val="0"/>
          <w:dstrike w:val="0"/>
          <w:color w:val="auto"/>
          <w:sz w:val="32"/>
          <w:szCs w:val="32"/>
          <w:highlight w:val="none"/>
          <w:lang w:val="en-US" w:eastAsia="zh-CN"/>
        </w:rPr>
        <w:t>山东省级新型研发机构、山东省科技成果转化中试示范基地</w:t>
      </w:r>
      <w:r>
        <w:rPr>
          <w:rFonts w:hint="eastAsia" w:ascii="Times New Roman" w:hAnsi="Times New Roman" w:eastAsia="仿宋_GB2312"/>
          <w:b w:val="0"/>
          <w:bCs w:val="0"/>
          <w:color w:val="auto"/>
          <w:sz w:val="32"/>
          <w:szCs w:val="32"/>
          <w:highlight w:val="none"/>
        </w:rPr>
        <w:t>聚人才、聚创新、聚需求作用，加强高端装备产业科技创新和成果转化。建好</w:t>
      </w:r>
      <w:r>
        <w:rPr>
          <w:rFonts w:hint="eastAsia" w:ascii="Times New Roman" w:hAnsi="Times New Roman" w:eastAsia="仿宋_GB2312"/>
          <w:b w:val="0"/>
          <w:bCs w:val="0"/>
          <w:color w:val="auto"/>
          <w:sz w:val="32"/>
          <w:szCs w:val="32"/>
          <w:highlight w:val="none"/>
          <w:lang w:val="en-US" w:eastAsia="zh-CN"/>
        </w:rPr>
        <w:t>用好</w:t>
      </w:r>
      <w:r>
        <w:rPr>
          <w:rFonts w:hint="eastAsia" w:ascii="Times New Roman" w:hAnsi="Times New Roman" w:eastAsia="仿宋_GB2312"/>
          <w:b w:val="0"/>
          <w:bCs w:val="0"/>
          <w:color w:val="auto"/>
          <w:sz w:val="32"/>
          <w:szCs w:val="32"/>
          <w:highlight w:val="none"/>
        </w:rPr>
        <w:t>启航智能制造国际创新园，积极承担国家和省国际科技合作任务，开拓科技合作渠道，筹划举办科技交流活动，促进人才交流、技术对接和成果转化。引导各级各类创新平台明确功能定位，向专业化、精细化方向发展</w:t>
      </w:r>
      <w:r>
        <w:rPr>
          <w:rFonts w:hint="eastAsia" w:ascii="Times New Roman" w:hAnsi="Times New Roman" w:eastAsia="仿宋_GB2312"/>
          <w:color w:val="auto"/>
          <w:sz w:val="32"/>
          <w:szCs w:val="32"/>
          <w:highlight w:val="none"/>
        </w:rPr>
        <w:t>。</w:t>
      </w:r>
    </w:p>
    <w:p w14:paraId="362CB7B5">
      <w:pPr>
        <w:pageBreakBefore w:val="0"/>
        <w:widowControl w:val="0"/>
        <w:kinsoku/>
        <w:wordWrap/>
        <w:overflowPunct/>
        <w:topLinePunct w:val="0"/>
        <w:autoSpaceDE/>
        <w:bidi w:val="0"/>
        <w:adjustRightInd w:val="0"/>
        <w:snapToGrid w:val="0"/>
        <w:spacing w:line="600" w:lineRule="exact"/>
        <w:ind w:firstLine="643" w:firstLineChars="200"/>
        <w:textAlignment w:val="auto"/>
        <w:rPr>
          <w:rFonts w:hint="eastAsia" w:ascii="Times New Roman" w:hAnsi="Times New Roman" w:eastAsia="仿宋_GB2312"/>
          <w:b w:val="0"/>
          <w:bCs w:val="0"/>
          <w:color w:val="auto"/>
          <w:sz w:val="32"/>
          <w:szCs w:val="32"/>
          <w:highlight w:val="none"/>
        </w:rPr>
      </w:pPr>
      <w:r>
        <w:rPr>
          <w:rFonts w:hint="eastAsia" w:ascii="仿宋_GB2312" w:hAnsi="Times New Roman" w:eastAsia="仿宋_GB2312"/>
          <w:b/>
          <w:bCs/>
          <w:color w:val="auto"/>
          <w:sz w:val="32"/>
          <w:szCs w:val="32"/>
          <w:highlight w:val="none"/>
        </w:rPr>
        <w:t>布局新建一批平台。</w:t>
      </w:r>
      <w:r>
        <w:rPr>
          <w:rFonts w:hint="eastAsia" w:ascii="仿宋_GB2312" w:hAnsi="Times New Roman" w:eastAsia="仿宋_GB2312"/>
          <w:b w:val="0"/>
          <w:bCs w:val="0"/>
          <w:color w:val="auto"/>
          <w:sz w:val="32"/>
          <w:szCs w:val="32"/>
          <w:highlight w:val="none"/>
        </w:rPr>
        <w:t>面向重点产业需求，鼓励龙头企业联合产业链上下游企业、知名高校院所共建技术创新中心、工程研究中心、</w:t>
      </w:r>
      <w:r>
        <w:rPr>
          <w:rFonts w:hint="eastAsia" w:ascii="仿宋_GB2312" w:hAnsi="仿宋_GB2312" w:eastAsia="仿宋_GB2312" w:cs="仿宋_GB2312"/>
          <w:strike w:val="0"/>
          <w:dstrike w:val="0"/>
          <w:color w:val="auto"/>
          <w:sz w:val="32"/>
          <w:szCs w:val="32"/>
          <w:highlight w:val="none"/>
          <w:lang w:val="en-US" w:eastAsia="zh-CN"/>
        </w:rPr>
        <w:t>企业技术中心、</w:t>
      </w:r>
      <w:r>
        <w:rPr>
          <w:rFonts w:hint="eastAsia" w:ascii="仿宋_GB2312" w:hAnsi="Times New Roman" w:eastAsia="仿宋_GB2312"/>
          <w:b w:val="0"/>
          <w:bCs w:val="0"/>
          <w:color w:val="auto"/>
          <w:sz w:val="32"/>
          <w:szCs w:val="32"/>
          <w:highlight w:val="none"/>
        </w:rPr>
        <w:t>成果转化中试示范基地等高能级平台。引导企业联合知名高校院所共建</w:t>
      </w:r>
      <w:r>
        <w:rPr>
          <w:rFonts w:hint="eastAsia" w:ascii="仿宋_GB2312" w:hAnsi="仿宋_GB2312" w:eastAsia="仿宋_GB2312" w:cs="仿宋_GB2312"/>
          <w:strike w:val="0"/>
          <w:dstrike w:val="0"/>
          <w:color w:val="auto"/>
          <w:sz w:val="32"/>
          <w:szCs w:val="32"/>
          <w:highlight w:val="none"/>
          <w:lang w:val="en-US" w:eastAsia="zh-CN"/>
        </w:rPr>
        <w:t>探索组建联合实验室和研究院</w:t>
      </w:r>
      <w:r>
        <w:rPr>
          <w:rFonts w:hint="eastAsia" w:ascii="仿宋_GB2312" w:hAnsi="Times New Roman" w:eastAsia="仿宋_GB2312"/>
          <w:b w:val="0"/>
          <w:bCs w:val="0"/>
          <w:color w:val="auto"/>
          <w:sz w:val="32"/>
          <w:szCs w:val="32"/>
          <w:highlight w:val="none"/>
        </w:rPr>
        <w:t>，在济南、青岛等科创资源富集地区建设创新飞地。实施规上工业企业研发机构提升行动，到2030年</w:t>
      </w:r>
      <w:r>
        <w:rPr>
          <w:rFonts w:hint="eastAsia" w:ascii="仿宋_GB2312" w:hAnsi="仿宋_GB2312" w:eastAsia="仿宋_GB2312" w:cs="仿宋_GB2312"/>
          <w:strike w:val="0"/>
          <w:dstrike w:val="0"/>
          <w:color w:val="auto"/>
          <w:sz w:val="32"/>
          <w:szCs w:val="32"/>
          <w:highlight w:val="none"/>
          <w:lang w:val="en-US" w:eastAsia="zh-CN"/>
        </w:rPr>
        <w:t>实现规上工业企业研发机构全覆盖</w:t>
      </w:r>
      <w:r>
        <w:rPr>
          <w:rFonts w:ascii="仿宋_GB2312" w:hAnsi="Times New Roman" w:eastAsia="仿宋_GB2312"/>
          <w:b w:val="0"/>
          <w:bCs w:val="0"/>
          <w:color w:val="auto"/>
          <w:sz w:val="32"/>
          <w:szCs w:val="32"/>
          <w:highlight w:val="none"/>
        </w:rPr>
        <w:t>。</w:t>
      </w:r>
    </w:p>
    <w:p w14:paraId="62BA6B9B">
      <w:pPr>
        <w:pageBreakBefore w:val="0"/>
        <w:widowControl w:val="0"/>
        <w:pBdr>
          <w:bottom w:val="none" w:color="000000" w:sz="0" w:space="7"/>
        </w:pBdr>
        <w:kinsoku/>
        <w:wordWrap/>
        <w:overflowPunct/>
        <w:topLinePunct w:val="0"/>
        <w:autoSpaceDE/>
        <w:autoSpaceDN w:val="0"/>
        <w:bidi w:val="0"/>
        <w:spacing w:line="600" w:lineRule="exact"/>
        <w:ind w:firstLine="643" w:firstLineChars="200"/>
        <w:textAlignment w:val="auto"/>
        <w:rPr>
          <w:rFonts w:hint="eastAsia" w:ascii="仿宋_GB2312" w:hAnsi="宋体" w:eastAsia="仿宋_GB2312"/>
          <w:bCs/>
          <w:color w:val="auto"/>
          <w:sz w:val="32"/>
          <w:szCs w:val="32"/>
          <w:highlight w:val="none"/>
        </w:rPr>
      </w:pPr>
      <w:r>
        <w:rPr>
          <w:rFonts w:hint="eastAsia" w:ascii="仿宋_GB2312" w:hAnsi="Times New Roman" w:eastAsia="仿宋_GB2312"/>
          <w:b/>
          <w:bCs/>
          <w:color w:val="auto"/>
          <w:sz w:val="32"/>
          <w:szCs w:val="32"/>
          <w:highlight w:val="none"/>
        </w:rPr>
        <w:t>优化平台运行机制。</w:t>
      </w:r>
      <w:r>
        <w:rPr>
          <w:rFonts w:hint="eastAsia" w:ascii="仿宋_GB2312" w:hAnsi="Times New Roman" w:eastAsia="仿宋_GB2312"/>
          <w:b w:val="0"/>
          <w:bCs w:val="0"/>
          <w:color w:val="auto"/>
          <w:sz w:val="32"/>
          <w:szCs w:val="32"/>
          <w:highlight w:val="none"/>
        </w:rPr>
        <w:t>发挥创新平台策源功能，优化平台运营、管理、考核机制，推动平台向市场化、专业化、社会化方向转型发展。鼓励创新平台与高校、科研院所、企业等建立紧密的合作关系，实施或参与重大科技创新项目，共同开展技术研发，解决关键核心技术和“卡脖子”技术。探索开展创新平台绩效评价，根据不同类型平台的目标任务，围绕技术能力、创新成果、创新管理等方面，建立完善符合创新规律、差异化的评价机制，推动创新平台“优胜劣汰、有进有出、动态管理”</w:t>
      </w:r>
      <w:r>
        <w:rPr>
          <w:rFonts w:hint="eastAsia" w:ascii="仿宋_GB2312" w:hAnsi="宋体" w:eastAsia="仿宋_GB2312"/>
          <w:bCs/>
          <w:color w:val="auto"/>
          <w:sz w:val="32"/>
          <w:szCs w:val="32"/>
          <w:highlight w:val="none"/>
        </w:rPr>
        <w:t>。</w:t>
      </w:r>
    </w:p>
    <w:p w14:paraId="312FFD2C">
      <w:pPr>
        <w:pageBreakBefore w:val="0"/>
        <w:widowControl w:val="0"/>
        <w:pBdr>
          <w:bottom w:val="none" w:color="000000" w:sz="0" w:space="7"/>
        </w:pBdr>
        <w:kinsoku/>
        <w:wordWrap/>
        <w:overflowPunct/>
        <w:topLinePunct w:val="0"/>
        <w:autoSpaceDE/>
        <w:autoSpaceDN w:val="0"/>
        <w:bidi w:val="0"/>
        <w:spacing w:line="600" w:lineRule="exact"/>
        <w:ind w:firstLine="643" w:firstLineChars="200"/>
        <w:textAlignment w:val="auto"/>
        <w:rPr>
          <w:rFonts w:hint="eastAsia" w:ascii="仿宋_GB2312" w:hAnsi="宋体" w:eastAsia="仿宋_GB2312"/>
          <w:bCs/>
          <w:color w:val="auto"/>
          <w:sz w:val="32"/>
          <w:szCs w:val="32"/>
          <w:highlight w:val="none"/>
        </w:rPr>
      </w:pPr>
      <w:r>
        <w:rPr>
          <w:rFonts w:hint="eastAsia" w:ascii="仿宋_GB2312" w:hAnsi="宋体" w:eastAsia="仿宋_GB2312"/>
          <w:b/>
          <w:color w:val="auto"/>
          <w:sz w:val="32"/>
          <w:szCs w:val="32"/>
          <w:highlight w:val="none"/>
        </w:rPr>
        <w:t>强化关键技术攻关。</w:t>
      </w:r>
      <w:r>
        <w:rPr>
          <w:rFonts w:hint="eastAsia" w:ascii="仿宋_GB2312" w:hAnsi="宋体" w:eastAsia="仿宋_GB2312"/>
          <w:b w:val="0"/>
          <w:bCs/>
          <w:color w:val="auto"/>
          <w:sz w:val="32"/>
          <w:szCs w:val="32"/>
          <w:highlight w:val="none"/>
        </w:rPr>
        <w:t>清单化推进技术攻坚，围绕主导产业、新兴产业、未来产业技术升级需求，建立科技攻关项目储备库，积极融入省市“自上而下”和“自下而上”相结合的项目凝练机制，每年优选10个“卡脖子”关键技术集中攻关。支持龙头企业牵头承担国家和省市重大科技项目，开展前沿引领技术和关键共性技术创新。支持“锂机材纺纸”五大主导产业</w:t>
      </w:r>
      <w:r>
        <w:rPr>
          <w:rFonts w:hint="eastAsia" w:ascii="仿宋_GB2312" w:hAnsi="宋体" w:eastAsia="仿宋_GB2312"/>
          <w:bCs/>
          <w:color w:val="auto"/>
          <w:sz w:val="32"/>
          <w:szCs w:val="32"/>
          <w:highlight w:val="none"/>
        </w:rPr>
        <w:t>设立产业创新专项基金，</w:t>
      </w:r>
      <w:r>
        <w:rPr>
          <w:rFonts w:hint="eastAsia" w:ascii="仿宋_GB2312" w:hAnsi="宋体" w:eastAsia="仿宋_GB2312"/>
          <w:bCs/>
          <w:color w:val="auto"/>
          <w:sz w:val="32"/>
          <w:szCs w:val="32"/>
          <w:highlight w:val="none"/>
          <w:lang w:val="en-US" w:eastAsia="zh-CN"/>
        </w:rPr>
        <w:t>鼓励</w:t>
      </w:r>
      <w:r>
        <w:rPr>
          <w:rFonts w:hint="eastAsia" w:ascii="仿宋_GB2312" w:hAnsi="宋体" w:eastAsia="仿宋_GB2312"/>
          <w:bCs/>
          <w:color w:val="auto"/>
          <w:sz w:val="32"/>
          <w:szCs w:val="32"/>
          <w:highlight w:val="none"/>
        </w:rPr>
        <w:t>龙头企业牵头组建创新联合体，聚焦固态电池材料等</w:t>
      </w:r>
      <w:r>
        <w:rPr>
          <w:rFonts w:hint="eastAsia" w:ascii="仿宋_GB2312" w:hAnsi="宋体" w:eastAsia="仿宋_GB2312"/>
          <w:b w:val="0"/>
          <w:bCs/>
          <w:color w:val="auto"/>
          <w:sz w:val="32"/>
          <w:szCs w:val="32"/>
          <w:highlight w:val="none"/>
        </w:rPr>
        <w:t>揭榜攻关，</w:t>
      </w:r>
      <w:r>
        <w:rPr>
          <w:rFonts w:hint="eastAsia" w:ascii="仿宋_GB2312" w:hAnsi="宋体" w:eastAsia="仿宋_GB2312"/>
          <w:bCs/>
          <w:color w:val="auto"/>
          <w:sz w:val="32"/>
          <w:szCs w:val="32"/>
          <w:highlight w:val="none"/>
        </w:rPr>
        <w:t>建立创新成果本地转化机制。</w:t>
      </w:r>
    </w:p>
    <w:p w14:paraId="1768733A">
      <w:pPr>
        <w:pStyle w:val="6"/>
        <w:pageBreakBefore w:val="0"/>
        <w:widowControl w:val="0"/>
        <w:kinsoku/>
        <w:wordWrap/>
        <w:overflowPunct/>
        <w:topLinePunct w:val="0"/>
        <w:autoSpaceDE/>
        <w:bidi w:val="0"/>
        <w:spacing w:line="600" w:lineRule="exact"/>
        <w:textAlignment w:val="auto"/>
        <w:rPr>
          <w:rFonts w:hint="eastAsia"/>
          <w:color w:val="auto"/>
          <w:highlight w:val="none"/>
        </w:rPr>
      </w:pPr>
      <w:bookmarkStart w:id="14" w:name="_Toc21957"/>
      <w:r>
        <w:rPr>
          <w:rFonts w:hint="eastAsia"/>
          <w:color w:val="auto"/>
          <w:highlight w:val="none"/>
        </w:rPr>
        <w:t>第二节 培育科技型企业矩阵</w:t>
      </w:r>
      <w:bookmarkEnd w:id="14"/>
    </w:p>
    <w:p w14:paraId="334F8A70">
      <w:pPr>
        <w:pageBreakBefore w:val="0"/>
        <w:widowControl w:val="0"/>
        <w:kinsoku/>
        <w:wordWrap/>
        <w:overflowPunct/>
        <w:topLinePunct w:val="0"/>
        <w:autoSpaceDE/>
        <w:bidi w:val="0"/>
        <w:adjustRightInd w:val="0"/>
        <w:snapToGrid w:val="0"/>
        <w:spacing w:line="600" w:lineRule="exact"/>
        <w:ind w:firstLine="643" w:firstLineChars="200"/>
        <w:textAlignment w:val="auto"/>
        <w:rPr>
          <w:rFonts w:ascii="仿宋_GB2312" w:hAnsi="宋体" w:eastAsia="仿宋_GB2312"/>
          <w:bCs/>
          <w:color w:val="auto"/>
          <w:sz w:val="32"/>
          <w:szCs w:val="32"/>
          <w:highlight w:val="none"/>
        </w:rPr>
      </w:pPr>
      <w:r>
        <w:rPr>
          <w:rFonts w:hint="eastAsia" w:ascii="仿宋_GB2312" w:hAnsi="宋体" w:eastAsia="仿宋_GB2312"/>
          <w:b/>
          <w:color w:val="auto"/>
          <w:sz w:val="32"/>
          <w:szCs w:val="32"/>
          <w:highlight w:val="none"/>
        </w:rPr>
        <w:t>培育</w:t>
      </w:r>
      <w:r>
        <w:rPr>
          <w:rFonts w:hint="eastAsia" w:ascii="仿宋_GB2312" w:hAnsi="宋体" w:eastAsia="仿宋_GB2312"/>
          <w:b/>
          <w:color w:val="auto"/>
          <w:sz w:val="32"/>
          <w:szCs w:val="32"/>
          <w:highlight w:val="none"/>
          <w:lang w:val="en-US" w:eastAsia="zh-CN"/>
        </w:rPr>
        <w:t>创新</w:t>
      </w:r>
      <w:r>
        <w:rPr>
          <w:rFonts w:hint="eastAsia" w:ascii="仿宋_GB2312" w:hAnsi="宋体" w:eastAsia="仿宋_GB2312"/>
          <w:b/>
          <w:color w:val="auto"/>
          <w:sz w:val="32"/>
          <w:szCs w:val="32"/>
          <w:highlight w:val="none"/>
        </w:rPr>
        <w:t>领军企业。</w:t>
      </w:r>
      <w:r>
        <w:rPr>
          <w:rFonts w:hint="eastAsia" w:ascii="仿宋_GB2312" w:hAnsi="仿宋_GB2312" w:eastAsia="仿宋_GB2312" w:cs="仿宋_GB2312"/>
          <w:strike w:val="0"/>
          <w:dstrike w:val="0"/>
          <w:color w:val="auto"/>
          <w:sz w:val="32"/>
          <w:szCs w:val="32"/>
          <w:highlight w:val="none"/>
          <w:lang w:val="en-US" w:eastAsia="zh-CN"/>
        </w:rPr>
        <w:t>实施企业创新提升行动，完善梯次培育机制</w:t>
      </w:r>
      <w:r>
        <w:rPr>
          <w:rFonts w:hint="eastAsia" w:ascii="仿宋_GB2312" w:hAnsi="宋体" w:eastAsia="仿宋_GB2312"/>
          <w:bCs/>
          <w:color w:val="auto"/>
          <w:sz w:val="32"/>
          <w:szCs w:val="32"/>
          <w:highlight w:val="none"/>
        </w:rPr>
        <w:t>，集聚项目</w:t>
      </w:r>
      <w:r>
        <w:rPr>
          <w:rFonts w:hint="eastAsia" w:ascii="仿宋_GB2312" w:hAnsi="宋体" w:eastAsia="仿宋_GB2312" w:cs="Times New Roman"/>
          <w:bCs/>
          <w:color w:val="auto"/>
          <w:sz w:val="32"/>
          <w:szCs w:val="32"/>
          <w:highlight w:val="none"/>
        </w:rPr>
        <w:t>、平台、人才、资金、教育资源等创新要素，动态筛选、培育</w:t>
      </w:r>
      <w:r>
        <w:rPr>
          <w:rFonts w:hint="eastAsia" w:ascii="仿宋_GB2312" w:hAnsi="仿宋_GB2312" w:eastAsia="仿宋_GB2312" w:cs="仿宋_GB2312"/>
          <w:strike w:val="0"/>
          <w:dstrike w:val="0"/>
          <w:color w:val="auto"/>
          <w:sz w:val="32"/>
          <w:szCs w:val="32"/>
          <w:highlight w:val="none"/>
          <w:lang w:val="en-US" w:eastAsia="zh-CN"/>
        </w:rPr>
        <w:t>创新型</w:t>
      </w:r>
      <w:r>
        <w:rPr>
          <w:rFonts w:hint="eastAsia" w:ascii="仿宋_GB2312" w:hAnsi="宋体" w:eastAsia="仿宋_GB2312" w:cs="Times New Roman"/>
          <w:bCs/>
          <w:color w:val="auto"/>
          <w:sz w:val="32"/>
          <w:szCs w:val="32"/>
          <w:highlight w:val="none"/>
        </w:rPr>
        <w:t>领军企业。支持</w:t>
      </w:r>
      <w:r>
        <w:rPr>
          <w:rFonts w:hint="eastAsia" w:ascii="仿宋_GB2312" w:hAnsi="仿宋_GB2312" w:eastAsia="仿宋_GB2312" w:cs="仿宋_GB2312"/>
          <w:strike w:val="0"/>
          <w:dstrike w:val="0"/>
          <w:color w:val="auto"/>
          <w:sz w:val="32"/>
          <w:szCs w:val="32"/>
          <w:highlight w:val="none"/>
          <w:lang w:val="en-US" w:eastAsia="zh-CN"/>
        </w:rPr>
        <w:t>创新型</w:t>
      </w:r>
      <w:r>
        <w:rPr>
          <w:rFonts w:hint="eastAsia" w:ascii="仿宋_GB2312" w:hAnsi="宋体" w:eastAsia="仿宋_GB2312" w:cs="Times New Roman"/>
          <w:bCs/>
          <w:color w:val="auto"/>
          <w:sz w:val="32"/>
          <w:szCs w:val="32"/>
          <w:highlight w:val="none"/>
        </w:rPr>
        <w:t>领军企业担纲或参与国家、省重大科技任务，超前布局原创性、颠覆性重大科技项目，加力攻克“卡脖</w:t>
      </w:r>
      <w:r>
        <w:rPr>
          <w:rFonts w:hint="eastAsia" w:ascii="仿宋_GB2312" w:hAnsi="宋体" w:eastAsia="仿宋_GB2312"/>
          <w:bCs/>
          <w:color w:val="auto"/>
          <w:sz w:val="32"/>
          <w:szCs w:val="32"/>
          <w:highlight w:val="none"/>
        </w:rPr>
        <w:t>子”关键核心技术。支持企业联合高校、科研机构等组建创新联合体，开展关键共性技术攻关及科技成果示范应用，打造产业链和创新链“双链主”。</w:t>
      </w:r>
    </w:p>
    <w:p w14:paraId="33D87290">
      <w:pPr>
        <w:pageBreakBefore w:val="0"/>
        <w:widowControl w:val="0"/>
        <w:kinsoku/>
        <w:wordWrap/>
        <w:overflowPunct/>
        <w:topLinePunct w:val="0"/>
        <w:autoSpaceDE/>
        <w:bidi w:val="0"/>
        <w:adjustRightInd w:val="0"/>
        <w:snapToGrid w:val="0"/>
        <w:spacing w:line="600" w:lineRule="exact"/>
        <w:ind w:firstLine="643" w:firstLineChars="200"/>
        <w:textAlignment w:val="auto"/>
        <w:rPr>
          <w:rFonts w:ascii="仿宋_GB2312" w:hAnsi="仿宋_GB2312" w:eastAsia="仿宋_GB2312" w:cs="仿宋_GB2312"/>
          <w:color w:val="auto"/>
          <w:kern w:val="0"/>
          <w:sz w:val="32"/>
          <w:szCs w:val="32"/>
          <w:highlight w:val="none"/>
        </w:rPr>
      </w:pPr>
      <w:r>
        <w:rPr>
          <w:rFonts w:hint="eastAsia" w:ascii="仿宋_GB2312" w:hAnsi="宋体" w:eastAsia="仿宋_GB2312"/>
          <w:b/>
          <w:color w:val="auto"/>
          <w:sz w:val="32"/>
          <w:szCs w:val="32"/>
          <w:highlight w:val="none"/>
        </w:rPr>
        <w:t>做强科技骨干企业。</w:t>
      </w:r>
      <w:r>
        <w:rPr>
          <w:rFonts w:hint="eastAsia" w:ascii="仿宋_GB2312" w:hAnsi="宋体" w:eastAsia="仿宋_GB2312"/>
          <w:bCs/>
          <w:color w:val="auto"/>
          <w:sz w:val="32"/>
          <w:szCs w:val="32"/>
          <w:highlight w:val="none"/>
        </w:rPr>
        <w:t>围绕现代化产业体系构建，培育一批处于产业链关键节点、具有细分赛道竞争优势、拥有核心硬科技的高新技术、专精特新、制造业单项冠军企业，在技术攻关、平台建设、人才引育、要素供给等方面给予联动支持。</w:t>
      </w:r>
      <w:r>
        <w:rPr>
          <w:rFonts w:ascii="仿宋_GB2312" w:hAnsi="宋体" w:eastAsia="仿宋_GB2312"/>
          <w:bCs/>
          <w:color w:val="auto"/>
          <w:sz w:val="32"/>
          <w:szCs w:val="32"/>
          <w:highlight w:val="none"/>
        </w:rPr>
        <w:t>实施高新技术企业培育计划</w:t>
      </w:r>
      <w:r>
        <w:rPr>
          <w:rFonts w:hint="eastAsia" w:ascii="仿宋_GB2312" w:hAnsi="宋体" w:eastAsia="仿宋_GB2312"/>
          <w:bCs/>
          <w:color w:val="auto"/>
          <w:sz w:val="32"/>
          <w:szCs w:val="32"/>
          <w:highlight w:val="none"/>
        </w:rPr>
        <w:t>，</w:t>
      </w:r>
      <w:r>
        <w:rPr>
          <w:rFonts w:hint="eastAsia" w:ascii="仿宋_GB2312" w:hAnsi="仿宋_GB2312" w:eastAsia="仿宋_GB2312" w:cs="仿宋_GB2312"/>
          <w:color w:val="auto"/>
          <w:kern w:val="0"/>
          <w:sz w:val="32"/>
          <w:szCs w:val="32"/>
          <w:highlight w:val="none"/>
        </w:rPr>
        <w:t>开展“高新企业规模化、规上企业高新化”行动，</w:t>
      </w:r>
      <w:r>
        <w:rPr>
          <w:rFonts w:ascii="仿宋_GB2312" w:hAnsi="宋体" w:eastAsia="仿宋_GB2312"/>
          <w:bCs/>
          <w:color w:val="auto"/>
          <w:sz w:val="32"/>
          <w:szCs w:val="32"/>
          <w:highlight w:val="none"/>
        </w:rPr>
        <w:t>鼓励科技企业做优做大做强</w:t>
      </w:r>
      <w:r>
        <w:rPr>
          <w:rFonts w:hint="eastAsia" w:ascii="仿宋_GB2312" w:hAnsi="宋体" w:eastAsia="仿宋_GB2312"/>
          <w:bCs/>
          <w:color w:val="auto"/>
          <w:sz w:val="32"/>
          <w:szCs w:val="32"/>
          <w:highlight w:val="none"/>
        </w:rPr>
        <w:t>。到2030年，全区</w:t>
      </w:r>
      <w:r>
        <w:rPr>
          <w:rFonts w:hint="eastAsia" w:ascii="仿宋_GB2312" w:hAnsi="仿宋_GB2312" w:eastAsia="仿宋_GB2312" w:cs="仿宋_GB2312"/>
          <w:color w:val="auto"/>
          <w:kern w:val="0"/>
          <w:sz w:val="32"/>
          <w:szCs w:val="32"/>
          <w:highlight w:val="none"/>
        </w:rPr>
        <w:t>高新技术企业达到</w:t>
      </w:r>
      <w:r>
        <w:rPr>
          <w:rFonts w:hint="eastAsia" w:ascii="仿宋_GB2312" w:hAnsi="仿宋_GB2312" w:eastAsia="仿宋_GB2312" w:cs="仿宋_GB2312"/>
          <w:color w:val="auto"/>
          <w:kern w:val="0"/>
          <w:sz w:val="32"/>
          <w:szCs w:val="32"/>
          <w:highlight w:val="none"/>
          <w:lang w:val="en-US" w:eastAsia="zh-CN"/>
        </w:rPr>
        <w:t>100</w:t>
      </w:r>
      <w:r>
        <w:rPr>
          <w:rFonts w:hint="eastAsia" w:ascii="仿宋_GB2312" w:hAnsi="仿宋_GB2312" w:eastAsia="仿宋_GB2312" w:cs="仿宋_GB2312"/>
          <w:color w:val="auto"/>
          <w:kern w:val="0"/>
          <w:sz w:val="32"/>
          <w:szCs w:val="32"/>
          <w:highlight w:val="none"/>
        </w:rPr>
        <w:t>家。</w:t>
      </w:r>
    </w:p>
    <w:p w14:paraId="506C2322">
      <w:pPr>
        <w:pageBreakBefore w:val="0"/>
        <w:widowControl w:val="0"/>
        <w:kinsoku/>
        <w:wordWrap/>
        <w:overflowPunct/>
        <w:topLinePunct w:val="0"/>
        <w:autoSpaceDE/>
        <w:bidi w:val="0"/>
        <w:adjustRightInd w:val="0"/>
        <w:snapToGrid w:val="0"/>
        <w:spacing w:line="600" w:lineRule="exact"/>
        <w:ind w:firstLine="643" w:firstLineChars="200"/>
        <w:textAlignment w:val="auto"/>
        <w:rPr>
          <w:rFonts w:hint="eastAsia" w:ascii="仿宋_GB2312" w:hAnsi="宋体" w:eastAsia="仿宋_GB2312"/>
          <w:bCs/>
          <w:color w:val="auto"/>
          <w:sz w:val="32"/>
          <w:szCs w:val="32"/>
          <w:highlight w:val="none"/>
        </w:rPr>
      </w:pPr>
      <w:r>
        <w:rPr>
          <w:rFonts w:hint="eastAsia" w:ascii="仿宋_GB2312" w:hAnsi="仿宋_GB2312" w:eastAsia="仿宋_GB2312" w:cs="仿宋_GB2312"/>
          <w:b/>
          <w:bCs/>
          <w:color w:val="auto"/>
          <w:kern w:val="0"/>
          <w:sz w:val="32"/>
          <w:szCs w:val="32"/>
          <w:highlight w:val="none"/>
        </w:rPr>
        <w:t>筑基科技型中小企业。</w:t>
      </w:r>
      <w:r>
        <w:rPr>
          <w:rFonts w:hint="eastAsia" w:ascii="仿宋_GB2312" w:hAnsi="仿宋_GB2312" w:eastAsia="仿宋_GB2312" w:cs="仿宋_GB2312"/>
          <w:color w:val="auto"/>
          <w:kern w:val="0"/>
          <w:sz w:val="32"/>
          <w:szCs w:val="32"/>
          <w:highlight w:val="none"/>
        </w:rPr>
        <w:t>实施企业创新能力提升工程，</w:t>
      </w:r>
      <w:r>
        <w:rPr>
          <w:rFonts w:ascii="仿宋_GB2312" w:hAnsi="仿宋_GB2312" w:eastAsia="仿宋_GB2312" w:cs="仿宋_GB2312"/>
          <w:color w:val="auto"/>
          <w:kern w:val="0"/>
          <w:sz w:val="32"/>
          <w:szCs w:val="32"/>
          <w:highlight w:val="none"/>
        </w:rPr>
        <w:t>挖掘优选一批科技创新能力强的“三高一核心”</w:t>
      </w:r>
      <w:r>
        <w:rPr>
          <w:rStyle w:val="26"/>
          <w:rFonts w:hint="eastAsia" w:ascii="仿宋_GB2312" w:hAnsi="仿宋_GB2312" w:eastAsia="仿宋_GB2312" w:cs="仿宋_GB2312"/>
          <w:color w:val="auto"/>
          <w:kern w:val="0"/>
          <w:sz w:val="32"/>
          <w:szCs w:val="32"/>
          <w:highlight w:val="none"/>
        </w:rPr>
        <w:footnoteReference w:id="0"/>
      </w:r>
      <w:r>
        <w:rPr>
          <w:rFonts w:ascii="仿宋_GB2312" w:hAnsi="仿宋_GB2312" w:eastAsia="仿宋_GB2312" w:cs="仿宋_GB2312"/>
          <w:color w:val="auto"/>
          <w:kern w:val="0"/>
          <w:sz w:val="32"/>
          <w:szCs w:val="32"/>
          <w:highlight w:val="none"/>
        </w:rPr>
        <w:t>企业</w:t>
      </w:r>
      <w:r>
        <w:rPr>
          <w:rFonts w:hint="eastAsia" w:ascii="仿宋_GB2312" w:hAnsi="仿宋_GB2312" w:eastAsia="仿宋_GB2312" w:cs="仿宋_GB2312"/>
          <w:color w:val="auto"/>
          <w:kern w:val="0"/>
          <w:sz w:val="32"/>
          <w:szCs w:val="32"/>
          <w:highlight w:val="none"/>
        </w:rPr>
        <w:t>。</w:t>
      </w:r>
      <w:r>
        <w:rPr>
          <w:rFonts w:hint="eastAsia" w:ascii="仿宋_GB2312" w:hAnsi="宋体" w:eastAsia="仿宋_GB2312"/>
          <w:bCs/>
          <w:color w:val="auto"/>
          <w:sz w:val="32"/>
          <w:szCs w:val="32"/>
          <w:highlight w:val="none"/>
        </w:rPr>
        <w:t>支持科研人员、企业高管、机构投资人等开展前沿技术、硬科技创业，鼓励</w:t>
      </w:r>
      <w:r>
        <w:rPr>
          <w:rFonts w:hint="eastAsia" w:ascii="仿宋_GB2312" w:hAnsi="宋体" w:eastAsia="仿宋_GB2312"/>
          <w:bCs/>
          <w:color w:val="auto"/>
          <w:sz w:val="32"/>
          <w:szCs w:val="32"/>
          <w:highlight w:val="none"/>
          <w:lang w:val="en-US" w:eastAsia="zh-CN"/>
        </w:rPr>
        <w:t>创新</w:t>
      </w:r>
      <w:r>
        <w:rPr>
          <w:rFonts w:hint="eastAsia" w:ascii="仿宋_GB2312" w:hAnsi="宋体" w:eastAsia="仿宋_GB2312"/>
          <w:bCs/>
          <w:color w:val="auto"/>
          <w:sz w:val="32"/>
          <w:szCs w:val="32"/>
          <w:highlight w:val="none"/>
        </w:rPr>
        <w:t>领军、</w:t>
      </w:r>
      <w:r>
        <w:rPr>
          <w:rFonts w:hint="eastAsia" w:ascii="仿宋_GB2312" w:hAnsi="宋体" w:eastAsia="仿宋_GB2312"/>
          <w:bCs/>
          <w:color w:val="auto"/>
          <w:sz w:val="32"/>
          <w:szCs w:val="32"/>
          <w:highlight w:val="none"/>
          <w:lang w:eastAsia="zh-CN"/>
        </w:rPr>
        <w:t>科技型骨干企业</w:t>
      </w:r>
      <w:r>
        <w:rPr>
          <w:rFonts w:hint="eastAsia" w:ascii="仿宋_GB2312" w:hAnsi="宋体" w:eastAsia="仿宋_GB2312"/>
          <w:bCs/>
          <w:color w:val="auto"/>
          <w:sz w:val="32"/>
          <w:szCs w:val="32"/>
          <w:highlight w:val="none"/>
        </w:rPr>
        <w:t>通过业务裂变、产业孵化、投资布局等创办科技型企业。依托创新创业大赛，赛孵联动培育一批潜力大、成长快的科技型中小企业。</w:t>
      </w:r>
      <w:r>
        <w:rPr>
          <w:rFonts w:hint="eastAsia" w:ascii="仿宋_GB2312" w:hAnsi="仿宋_GB2312" w:eastAsia="仿宋_GB2312" w:cs="仿宋_GB2312"/>
          <w:color w:val="auto"/>
          <w:kern w:val="0"/>
          <w:sz w:val="32"/>
          <w:szCs w:val="32"/>
          <w:highlight w:val="none"/>
        </w:rPr>
        <w:t>到2030年，全区科技型中小企业达到</w:t>
      </w:r>
      <w:r>
        <w:rPr>
          <w:rFonts w:hint="eastAsia" w:ascii="仿宋_GB2312" w:hAnsi="仿宋_GB2312" w:eastAsia="仿宋_GB2312" w:cs="仿宋_GB2312"/>
          <w:color w:val="auto"/>
          <w:kern w:val="0"/>
          <w:sz w:val="32"/>
          <w:szCs w:val="32"/>
          <w:highlight w:val="none"/>
          <w:lang w:val="en-US" w:eastAsia="zh-CN"/>
        </w:rPr>
        <w:t>20</w:t>
      </w:r>
      <w:r>
        <w:rPr>
          <w:rFonts w:hint="eastAsia" w:ascii="仿宋_GB2312" w:hAnsi="仿宋_GB2312" w:eastAsia="仿宋_GB2312" w:cs="仿宋_GB2312"/>
          <w:color w:val="auto"/>
          <w:kern w:val="0"/>
          <w:sz w:val="32"/>
          <w:szCs w:val="32"/>
          <w:highlight w:val="none"/>
        </w:rPr>
        <w:t>0家。</w:t>
      </w:r>
    </w:p>
    <w:p w14:paraId="0F3F753A">
      <w:pPr>
        <w:pageBreakBefore w:val="0"/>
        <w:widowControl w:val="0"/>
        <w:kinsoku/>
        <w:wordWrap/>
        <w:overflowPunct/>
        <w:topLinePunct w:val="0"/>
        <w:autoSpaceDE/>
        <w:bidi w:val="0"/>
        <w:adjustRightInd w:val="0"/>
        <w:snapToGrid w:val="0"/>
        <w:spacing w:line="600" w:lineRule="exact"/>
        <w:ind w:firstLine="643" w:firstLineChars="200"/>
        <w:textAlignment w:val="auto"/>
        <w:rPr>
          <w:rFonts w:ascii="仿宋_GB2312" w:hAnsi="宋体" w:eastAsia="仿宋_GB2312"/>
          <w:color w:val="auto"/>
          <w:sz w:val="32"/>
          <w:szCs w:val="32"/>
          <w:highlight w:val="none"/>
        </w:rPr>
      </w:pPr>
      <w:r>
        <w:rPr>
          <w:rFonts w:hint="eastAsia" w:ascii="仿宋_GB2312" w:hAnsi="宋体" w:eastAsia="仿宋_GB2312"/>
          <w:b/>
          <w:color w:val="auto"/>
          <w:sz w:val="32"/>
          <w:szCs w:val="32"/>
          <w:highlight w:val="none"/>
        </w:rPr>
        <w:t>促进大中小企业融通创新。</w:t>
      </w:r>
      <w:r>
        <w:rPr>
          <w:rFonts w:hint="eastAsia" w:ascii="仿宋_GB2312" w:hAnsi="仿宋_GB2312" w:eastAsia="仿宋_GB2312" w:cs="仿宋_GB2312"/>
          <w:strike w:val="0"/>
          <w:dstrike w:val="0"/>
          <w:color w:val="auto"/>
          <w:sz w:val="32"/>
          <w:szCs w:val="32"/>
          <w:highlight w:val="none"/>
          <w:lang w:val="en-US" w:eastAsia="zh-CN"/>
        </w:rPr>
        <w:t>完善</w:t>
      </w:r>
      <w:r>
        <w:rPr>
          <w:rFonts w:hint="default" w:ascii="仿宋_GB2312" w:hAnsi="仿宋_GB2312" w:eastAsia="仿宋_GB2312" w:cs="仿宋_GB2312"/>
          <w:strike w:val="0"/>
          <w:dstrike w:val="0"/>
          <w:color w:val="auto"/>
          <w:sz w:val="32"/>
          <w:szCs w:val="32"/>
          <w:highlight w:val="none"/>
          <w:lang w:val="en-US" w:eastAsia="zh-CN"/>
        </w:rPr>
        <w:t>科技型企业梯次培育链条</w:t>
      </w:r>
      <w:r>
        <w:rPr>
          <w:rFonts w:hint="eastAsia" w:ascii="仿宋_GB2312" w:hAnsi="仿宋_GB2312" w:eastAsia="仿宋_GB2312" w:cs="仿宋_GB2312"/>
          <w:strike w:val="0"/>
          <w:dstrike w:val="0"/>
          <w:color w:val="auto"/>
          <w:sz w:val="32"/>
          <w:szCs w:val="32"/>
          <w:highlight w:val="none"/>
          <w:lang w:val="en-US" w:eastAsia="zh-CN"/>
        </w:rPr>
        <w:t>，</w:t>
      </w:r>
      <w:r>
        <w:rPr>
          <w:rFonts w:ascii="仿宋_GB2312" w:hAnsi="仿宋_GB2312" w:eastAsia="仿宋_GB2312" w:cs="仿宋_GB2312"/>
          <w:color w:val="auto"/>
          <w:kern w:val="0"/>
          <w:sz w:val="32"/>
          <w:szCs w:val="32"/>
          <w:highlight w:val="none"/>
          <w:lang w:bidi="ar"/>
        </w:rPr>
        <w:t>构建科技企业全生命周期服务机制，精准识别研发投入高、成长性强的科技型企业</w:t>
      </w:r>
      <w:r>
        <w:rPr>
          <w:rFonts w:hint="eastAsia" w:ascii="仿宋_GB2312" w:hAnsi="仿宋_GB2312" w:eastAsia="仿宋_GB2312" w:cs="仿宋_GB2312"/>
          <w:color w:val="auto"/>
          <w:kern w:val="0"/>
          <w:sz w:val="32"/>
          <w:szCs w:val="32"/>
          <w:highlight w:val="none"/>
          <w:lang w:bidi="ar"/>
        </w:rPr>
        <w:t>，推动科技型中小企业成长为高新技术企业。</w:t>
      </w:r>
      <w:r>
        <w:rPr>
          <w:rFonts w:hint="eastAsia" w:ascii="仿宋_GB2312" w:hAnsi="宋体" w:eastAsia="仿宋_GB2312"/>
          <w:color w:val="auto"/>
          <w:sz w:val="32"/>
          <w:szCs w:val="32"/>
          <w:highlight w:val="none"/>
        </w:rPr>
        <w:t>鼓励龙头企业开放供应链和场景应用，</w:t>
      </w:r>
      <w:r>
        <w:rPr>
          <w:rFonts w:hint="eastAsia" w:ascii="仿宋_GB2312" w:hAnsi="宋体" w:eastAsia="仿宋_GB2312"/>
          <w:bCs/>
          <w:color w:val="auto"/>
          <w:sz w:val="32"/>
          <w:szCs w:val="32"/>
          <w:highlight w:val="none"/>
        </w:rPr>
        <w:t>采取“研发+转化”“终端产品+协作配套”等模式，牵引大中小企业融通创新。</w:t>
      </w:r>
      <w:r>
        <w:rPr>
          <w:rFonts w:hint="eastAsia" w:ascii="仿宋_GB2312" w:hAnsi="宋体" w:eastAsia="仿宋_GB2312"/>
          <w:color w:val="auto"/>
          <w:sz w:val="32"/>
          <w:szCs w:val="32"/>
          <w:highlight w:val="none"/>
        </w:rPr>
        <w:t>建立完善企业家“圆桌会”制度，组织</w:t>
      </w:r>
      <w:r>
        <w:rPr>
          <w:rFonts w:hint="eastAsia" w:ascii="仿宋_GB2312" w:hAnsi="宋体" w:eastAsia="仿宋_GB2312"/>
          <w:bCs/>
          <w:color w:val="auto"/>
          <w:sz w:val="32"/>
          <w:szCs w:val="32"/>
          <w:highlight w:val="none"/>
        </w:rPr>
        <w:t>产业链上下游</w:t>
      </w:r>
      <w:r>
        <w:rPr>
          <w:rFonts w:hint="eastAsia" w:ascii="仿宋_GB2312" w:hAnsi="宋体" w:eastAsia="仿宋_GB2312"/>
          <w:color w:val="auto"/>
          <w:sz w:val="32"/>
          <w:szCs w:val="32"/>
          <w:highlight w:val="none"/>
        </w:rPr>
        <w:t>企业定期交流，促成企业互通信息、互相合作。</w:t>
      </w:r>
    </w:p>
    <w:p w14:paraId="5DF1EB70">
      <w:pPr>
        <w:pStyle w:val="6"/>
        <w:pageBreakBefore w:val="0"/>
        <w:widowControl w:val="0"/>
        <w:kinsoku/>
        <w:wordWrap/>
        <w:overflowPunct/>
        <w:topLinePunct w:val="0"/>
        <w:autoSpaceDE/>
        <w:bidi w:val="0"/>
        <w:spacing w:line="600" w:lineRule="exact"/>
        <w:textAlignment w:val="auto"/>
        <w:rPr>
          <w:rFonts w:hint="eastAsia"/>
          <w:color w:val="auto"/>
          <w:highlight w:val="none"/>
        </w:rPr>
      </w:pPr>
      <w:bookmarkStart w:id="15" w:name="_Toc26918"/>
      <w:r>
        <w:rPr>
          <w:rFonts w:hint="eastAsia"/>
          <w:color w:val="auto"/>
          <w:highlight w:val="none"/>
        </w:rPr>
        <w:t>第三节 打造特色人才高地</w:t>
      </w:r>
      <w:bookmarkEnd w:id="15"/>
    </w:p>
    <w:p w14:paraId="740904B2">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ascii="仿宋_GB2312" w:hAnsi="仿宋_GB2312" w:eastAsia="仿宋_GB2312" w:cs="仿宋_GB2312"/>
          <w:color w:val="auto"/>
          <w:sz w:val="32"/>
          <w:szCs w:val="32"/>
          <w:highlight w:val="none"/>
        </w:rPr>
      </w:pPr>
      <w:r>
        <w:rPr>
          <w:rFonts w:hint="eastAsia" w:ascii="仿宋_GB2312" w:hAnsi="宋体" w:eastAsia="仿宋_GB2312"/>
          <w:b/>
          <w:color w:val="auto"/>
          <w:sz w:val="32"/>
          <w:szCs w:val="32"/>
          <w:highlight w:val="none"/>
        </w:rPr>
        <w:t>构建多元化引才网络。</w:t>
      </w:r>
      <w:r>
        <w:rPr>
          <w:rFonts w:hint="eastAsia" w:ascii="仿宋_GB2312" w:hAnsi="仿宋_GB2312" w:eastAsia="仿宋_GB2312" w:cs="仿宋_GB2312"/>
          <w:color w:val="auto"/>
          <w:sz w:val="32"/>
          <w:szCs w:val="32"/>
          <w:highlight w:val="none"/>
        </w:rPr>
        <w:t>坚持以用为本的引才理念，深入实施人才强区战略，推进“榴枣归乡”工程，</w:t>
      </w:r>
      <w:r>
        <w:rPr>
          <w:rFonts w:ascii="仿宋_GB2312" w:hAnsi="仿宋_GB2312" w:eastAsia="仿宋_GB2312" w:cs="仿宋_GB2312"/>
          <w:color w:val="auto"/>
          <w:sz w:val="32"/>
          <w:szCs w:val="32"/>
          <w:highlight w:val="none"/>
        </w:rPr>
        <w:t>吸引优秀高层次人才来台创新创业</w:t>
      </w:r>
      <w:r>
        <w:rPr>
          <w:rFonts w:hint="eastAsia" w:ascii="仿宋_GB2312" w:hAnsi="仿宋_GB2312" w:eastAsia="仿宋_GB2312" w:cs="仿宋_GB2312"/>
          <w:color w:val="auto"/>
          <w:sz w:val="32"/>
          <w:szCs w:val="32"/>
          <w:highlight w:val="none"/>
        </w:rPr>
        <w:t>。梯次推进省级博士后创新实践基地和国家级博士后科研工作站备案工作，做好博士后人才引进、人才培育、成果转化等工作，打造全市“博创”试点。发挥省级（乡村振兴）专家服务基地引才聚才示范作用，加强与高层次人才联系，开展多领域专家服务基层活动。实施青年人才优选计划，高水平举办“台儿庄学子家乡行”活动，积极参加</w:t>
      </w:r>
      <w:r>
        <w:rPr>
          <w:rFonts w:ascii="仿宋_GB2312" w:hAnsi="仿宋_GB2312" w:eastAsia="仿宋_GB2312" w:cs="仿宋_GB2312"/>
          <w:color w:val="auto"/>
          <w:sz w:val="32"/>
          <w:szCs w:val="32"/>
          <w:highlight w:val="none"/>
        </w:rPr>
        <w:t>高校</w:t>
      </w:r>
      <w:r>
        <w:rPr>
          <w:rFonts w:hint="eastAsia" w:ascii="仿宋_GB2312" w:hAnsi="仿宋_GB2312" w:eastAsia="仿宋_GB2312" w:cs="仿宋_GB2312"/>
          <w:color w:val="auto"/>
          <w:sz w:val="32"/>
          <w:szCs w:val="32"/>
          <w:highlight w:val="none"/>
        </w:rPr>
        <w:t>人才</w:t>
      </w:r>
      <w:r>
        <w:rPr>
          <w:rFonts w:ascii="仿宋_GB2312" w:hAnsi="仿宋_GB2312" w:eastAsia="仿宋_GB2312" w:cs="仿宋_GB2312"/>
          <w:color w:val="auto"/>
          <w:sz w:val="32"/>
          <w:szCs w:val="32"/>
          <w:highlight w:val="none"/>
        </w:rPr>
        <w:t>直通车等活动</w:t>
      </w:r>
      <w:r>
        <w:rPr>
          <w:rFonts w:hint="eastAsia" w:ascii="仿宋_GB2312" w:hAnsi="仿宋_GB2312" w:eastAsia="仿宋_GB2312" w:cs="仿宋_GB2312"/>
          <w:color w:val="auto"/>
          <w:sz w:val="32"/>
          <w:szCs w:val="32"/>
          <w:highlight w:val="none"/>
        </w:rPr>
        <w:t>，吸引高校毕业生来台就业。</w:t>
      </w:r>
      <w:r>
        <w:rPr>
          <w:rFonts w:ascii="仿宋_GB2312" w:hAnsi="仿宋_GB2312" w:eastAsia="仿宋_GB2312" w:cs="仿宋_GB2312"/>
          <w:color w:val="auto"/>
          <w:sz w:val="32"/>
          <w:szCs w:val="32"/>
          <w:highlight w:val="none"/>
        </w:rPr>
        <w:t>挖掘农村在外能人，积极培育乡村人才</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坚持以国家级人才工程、泰山人才工程、枣庄英才集聚工程等人才项目为抓手，吸引集聚一批掌握关键核心技术、能够引领产业升级的一流科技领军人才及创新团队，力争引育创新创业人才5人以上</w:t>
      </w:r>
      <w:r>
        <w:rPr>
          <w:rFonts w:ascii="仿宋_GB2312" w:hAnsi="仿宋_GB2312" w:eastAsia="仿宋_GB2312" w:cs="仿宋_GB2312"/>
          <w:color w:val="auto"/>
          <w:kern w:val="0"/>
          <w:sz w:val="32"/>
          <w:szCs w:val="32"/>
          <w:highlight w:val="none"/>
          <w:lang w:bidi="ar"/>
        </w:rPr>
        <w:t>。</w:t>
      </w:r>
    </w:p>
    <w:p w14:paraId="28BC0A79">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ascii="仿宋_GB2312" w:hAnsi="仿宋_GB2312" w:eastAsia="仿宋_GB2312" w:cs="仿宋_GB2312"/>
          <w:color w:val="auto"/>
          <w:sz w:val="32"/>
          <w:szCs w:val="32"/>
          <w:highlight w:val="none"/>
        </w:rPr>
      </w:pPr>
      <w:r>
        <w:rPr>
          <w:rFonts w:hint="eastAsia" w:ascii="仿宋_GB2312" w:hAnsi="宋体" w:eastAsia="仿宋_GB2312"/>
          <w:b/>
          <w:color w:val="auto"/>
          <w:sz w:val="32"/>
          <w:szCs w:val="32"/>
          <w:highlight w:val="none"/>
        </w:rPr>
        <w:t>提升人才自主培养能力。</w:t>
      </w:r>
      <w:r>
        <w:rPr>
          <w:rFonts w:hint="eastAsia" w:ascii="仿宋_GB2312" w:hAnsi="仿宋_GB2312" w:eastAsia="仿宋_GB2312" w:cs="仿宋_GB2312"/>
          <w:color w:val="auto"/>
          <w:sz w:val="32"/>
          <w:szCs w:val="32"/>
          <w:highlight w:val="none"/>
        </w:rPr>
        <w:t>突出产教融合、产才融合，对接区域产业升级需求，支持</w:t>
      </w:r>
      <w:r>
        <w:rPr>
          <w:rFonts w:hint="eastAsia" w:ascii="仿宋_GB2312" w:hAnsi="宋体" w:eastAsia="仿宋_GB2312"/>
          <w:color w:val="auto"/>
          <w:sz w:val="32"/>
          <w:szCs w:val="32"/>
          <w:highlight w:val="none"/>
        </w:rPr>
        <w:t>枣庄交通旅游学校持续优化专业设置和人才培养方案，</w:t>
      </w:r>
      <w:r>
        <w:rPr>
          <w:rFonts w:hint="eastAsia" w:ascii="仿宋_GB2312" w:hAnsi="仿宋_GB2312" w:eastAsia="仿宋_GB2312" w:cs="仿宋_GB2312"/>
          <w:snapToGrid w:val="0"/>
          <w:color w:val="auto"/>
          <w:kern w:val="0"/>
          <w:sz w:val="32"/>
          <w:szCs w:val="32"/>
          <w:highlight w:val="none"/>
        </w:rPr>
        <w:t>创新“校企命运共同体”模式，</w:t>
      </w:r>
      <w:r>
        <w:rPr>
          <w:rFonts w:hint="eastAsia" w:ascii="仿宋_GB2312" w:hAnsi="宋体" w:eastAsia="仿宋_GB2312"/>
          <w:color w:val="auto"/>
          <w:sz w:val="32"/>
          <w:szCs w:val="32"/>
          <w:highlight w:val="none"/>
        </w:rPr>
        <w:t>探索职业教育与区域经济协同发展路径。开展现代学徒制试点，</w:t>
      </w:r>
      <w:r>
        <w:rPr>
          <w:rFonts w:hint="eastAsia" w:ascii="仿宋_GB2312" w:hAnsi="仿宋_GB2312" w:eastAsia="仿宋_GB2312" w:cs="仿宋_GB2312"/>
          <w:snapToGrid w:val="0"/>
          <w:color w:val="auto"/>
          <w:kern w:val="0"/>
          <w:sz w:val="32"/>
          <w:szCs w:val="32"/>
          <w:highlight w:val="none"/>
        </w:rPr>
        <w:t>与企业共建“校中厂</w:t>
      </w:r>
      <w:r>
        <w:rPr>
          <w:rFonts w:hint="eastAsia" w:ascii="仿宋_GB2312" w:hAnsi="仿宋_GB2312" w:eastAsia="仿宋_GB2312" w:cs="仿宋_GB2312"/>
          <w:snapToGrid w:val="0"/>
          <w:color w:val="auto"/>
          <w:kern w:val="0"/>
          <w:sz w:val="32"/>
          <w:szCs w:val="32"/>
          <w:highlight w:val="none"/>
          <w:lang w:eastAsia="zh-CN"/>
        </w:rPr>
        <w:t>”“</w:t>
      </w:r>
      <w:r>
        <w:rPr>
          <w:rFonts w:hint="eastAsia" w:ascii="仿宋_GB2312" w:hAnsi="仿宋_GB2312" w:eastAsia="仿宋_GB2312" w:cs="仿宋_GB2312"/>
          <w:snapToGrid w:val="0"/>
          <w:color w:val="auto"/>
          <w:kern w:val="0"/>
          <w:sz w:val="32"/>
          <w:szCs w:val="32"/>
          <w:highlight w:val="none"/>
        </w:rPr>
        <w:t>厂中校”、</w:t>
      </w:r>
      <w:r>
        <w:rPr>
          <w:rFonts w:hint="eastAsia" w:ascii="仿宋_GB2312" w:hAnsi="宋体" w:eastAsia="仿宋_GB2312"/>
          <w:color w:val="auto"/>
          <w:sz w:val="32"/>
          <w:szCs w:val="32"/>
          <w:highlight w:val="none"/>
        </w:rPr>
        <w:t>冠名班，实现“人才共育、过程共管、成果共享、责任共担”。</w:t>
      </w:r>
      <w:r>
        <w:rPr>
          <w:rFonts w:hint="eastAsia" w:ascii="仿宋_GB2312" w:hAnsi="仿宋_GB2312" w:eastAsia="仿宋_GB2312" w:cs="仿宋_GB2312"/>
          <w:snapToGrid w:val="0"/>
          <w:color w:val="auto"/>
          <w:kern w:val="0"/>
          <w:sz w:val="32"/>
          <w:szCs w:val="32"/>
          <w:highlight w:val="none"/>
        </w:rPr>
        <w:t>实施“技能照亮前程”职业技能提升行动，大规模开展重点群体、重点行业职业技能培训，壮大高技能人才队伍。</w:t>
      </w:r>
      <w:r>
        <w:rPr>
          <w:rFonts w:hint="eastAsia" w:ascii="仿宋_GB2312" w:hAnsi="仿宋_GB2312" w:eastAsia="仿宋_GB2312" w:cs="仿宋_GB2312"/>
          <w:color w:val="auto"/>
          <w:sz w:val="32"/>
          <w:szCs w:val="32"/>
          <w:highlight w:val="none"/>
        </w:rPr>
        <w:t>推进</w:t>
      </w:r>
      <w:r>
        <w:rPr>
          <w:rFonts w:ascii="仿宋_GB2312" w:hAnsi="仿宋_GB2312" w:eastAsia="仿宋_GB2312" w:cs="仿宋_GB2312"/>
          <w:color w:val="auto"/>
          <w:kern w:val="0"/>
          <w:sz w:val="32"/>
          <w:szCs w:val="32"/>
          <w:highlight w:val="none"/>
          <w:lang w:bidi="ar"/>
        </w:rPr>
        <w:t>公共实训</w:t>
      </w:r>
      <w:r>
        <w:rPr>
          <w:rFonts w:hint="eastAsia" w:ascii="仿宋_GB2312" w:hAnsi="仿宋_GB2312" w:eastAsia="仿宋_GB2312" w:cs="仿宋_GB2312"/>
          <w:color w:val="auto"/>
          <w:kern w:val="0"/>
          <w:sz w:val="32"/>
          <w:szCs w:val="32"/>
          <w:highlight w:val="none"/>
          <w:lang w:bidi="ar"/>
        </w:rPr>
        <w:t>基地建设，面向全市范围职业院校、企业和社会团体开放，统筹组织实施专业实训教学，培养创新型、应用型、复合型人才。</w:t>
      </w:r>
    </w:p>
    <w:p w14:paraId="1CE3BF46">
      <w:pPr>
        <w:keepNext w:val="0"/>
        <w:keepLines w:val="0"/>
        <w:pageBreakBefore w:val="0"/>
        <w:widowControl w:val="0"/>
        <w:kinsoku/>
        <w:wordWrap/>
        <w:overflowPunct/>
        <w:topLinePunct w:val="0"/>
        <w:autoSpaceDE/>
        <w:autoSpaceDN/>
        <w:bidi w:val="0"/>
        <w:spacing w:line="580" w:lineRule="exact"/>
        <w:ind w:firstLine="643" w:firstLineChars="200"/>
        <w:textAlignment w:val="auto"/>
        <w:rPr>
          <w:rFonts w:ascii="仿宋_GB2312" w:hAnsi="仿宋_GB2312" w:eastAsia="仿宋_GB2312" w:cs="仿宋_GB2312"/>
          <w:color w:val="auto"/>
          <w:sz w:val="32"/>
          <w:szCs w:val="32"/>
          <w:highlight w:val="none"/>
        </w:rPr>
      </w:pPr>
      <w:r>
        <w:rPr>
          <w:rFonts w:hint="eastAsia" w:ascii="仿宋_GB2312" w:hAnsi="宋体" w:eastAsia="仿宋_GB2312"/>
          <w:b/>
          <w:color w:val="auto"/>
          <w:sz w:val="32"/>
          <w:szCs w:val="32"/>
          <w:highlight w:val="none"/>
        </w:rPr>
        <w:t>全面提升人才服务水平。</w:t>
      </w:r>
      <w:r>
        <w:rPr>
          <w:rFonts w:hint="eastAsia" w:ascii="仿宋_GB2312" w:hAnsi="仿宋_GB2312" w:eastAsia="仿宋_GB2312" w:cs="仿宋_GB2312"/>
          <w:color w:val="auto"/>
          <w:sz w:val="32"/>
          <w:szCs w:val="32"/>
          <w:highlight w:val="none"/>
        </w:rPr>
        <w:t>聚焦“引得进、留得住、用得好、流得动”，深化人才发展体制机制改革，迭代升级人才政策，优化人才服务环境、居住环境、创业环境，营造更具竞争力和吸引力的人才发展生态。</w:t>
      </w:r>
      <w:bookmarkStart w:id="16" w:name="_Toc25783"/>
      <w:bookmarkStart w:id="17" w:name="_Toc8131"/>
      <w:r>
        <w:rPr>
          <w:rFonts w:hint="eastAsia" w:ascii="仿宋_GB2312" w:hAnsi="仿宋_GB2312" w:eastAsia="仿宋_GB2312" w:cs="仿宋_GB2312"/>
          <w:color w:val="auto"/>
          <w:sz w:val="32"/>
          <w:szCs w:val="32"/>
          <w:highlight w:val="none"/>
        </w:rPr>
        <w:t>实施人才服务质效提升专项行动，开展送政策进企业活动，完善人才政策宣传推介机制，深化“政策找人”“无形认证”政策落实机制</w:t>
      </w:r>
      <w:bookmarkEnd w:id="16"/>
      <w:bookmarkEnd w:id="17"/>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增强人才服务合力</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做好高层次人才服务工作</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创新人才大厦运营模式，优化人才公寓供应结构，为来台求职青年提供政策咨询、岗位推介、就业指导、城市融入等“一站式”服务，打造外地青年学子就业“暖心第一站”。</w:t>
      </w:r>
    </w:p>
    <w:p w14:paraId="1739C9CE">
      <w:pPr>
        <w:pStyle w:val="6"/>
        <w:pageBreakBefore w:val="0"/>
        <w:widowControl w:val="0"/>
        <w:kinsoku/>
        <w:wordWrap/>
        <w:overflowPunct/>
        <w:topLinePunct w:val="0"/>
        <w:autoSpaceDE/>
        <w:bidi w:val="0"/>
        <w:spacing w:line="600" w:lineRule="exact"/>
        <w:textAlignment w:val="auto"/>
        <w:rPr>
          <w:rFonts w:hint="eastAsia"/>
          <w:color w:val="auto"/>
          <w:highlight w:val="none"/>
        </w:rPr>
      </w:pPr>
      <w:bookmarkStart w:id="18" w:name="_Toc8948"/>
      <w:r>
        <w:rPr>
          <w:rFonts w:hint="eastAsia"/>
          <w:color w:val="auto"/>
          <w:highlight w:val="none"/>
        </w:rPr>
        <w:t>第四节 打造良好科创生态</w:t>
      </w:r>
      <w:bookmarkEnd w:id="18"/>
    </w:p>
    <w:p w14:paraId="2ADF62B6">
      <w:pPr>
        <w:pageBreakBefore w:val="0"/>
        <w:widowControl w:val="0"/>
        <w:kinsoku/>
        <w:wordWrap/>
        <w:overflowPunct/>
        <w:topLinePunct w:val="0"/>
        <w:autoSpaceDE/>
        <w:bidi w:val="0"/>
        <w:adjustRightInd w:val="0"/>
        <w:snapToGrid w:val="0"/>
        <w:spacing w:line="600" w:lineRule="exact"/>
        <w:ind w:firstLine="643" w:firstLineChars="200"/>
        <w:textAlignment w:val="auto"/>
        <w:rPr>
          <w:rFonts w:hint="eastAsia" w:ascii="仿宋_GB2312" w:hAnsi="仿宋_GB2312" w:eastAsia="仿宋_GB2312" w:cs="仿宋_GB2312"/>
          <w:color w:val="auto"/>
          <w:kern w:val="0"/>
          <w:sz w:val="32"/>
          <w:szCs w:val="32"/>
          <w:highlight w:val="none"/>
          <w:lang w:val="zh-CN"/>
        </w:rPr>
      </w:pPr>
      <w:r>
        <w:rPr>
          <w:rFonts w:hint="eastAsia" w:ascii="仿宋_GB2312" w:hAnsi="仿宋_GB2312" w:eastAsia="仿宋_GB2312" w:cs="仿宋_GB2312"/>
          <w:b/>
          <w:bCs/>
          <w:color w:val="auto"/>
          <w:kern w:val="0"/>
          <w:sz w:val="32"/>
          <w:szCs w:val="32"/>
          <w:highlight w:val="none"/>
          <w:lang w:val="zh-CN"/>
        </w:rPr>
        <w:t>畅通科技成果转化渠道。</w:t>
      </w:r>
      <w:r>
        <w:rPr>
          <w:rFonts w:hint="eastAsia" w:ascii="仿宋_GB2312" w:hAnsi="仿宋_GB2312" w:eastAsia="仿宋_GB2312" w:cs="仿宋_GB2312"/>
          <w:color w:val="auto"/>
          <w:kern w:val="0"/>
          <w:sz w:val="32"/>
          <w:szCs w:val="32"/>
          <w:highlight w:val="none"/>
          <w:lang w:val="zh-CN"/>
        </w:rPr>
        <w:t>积极融入“山东科技大市场”“枣庄科技大市场”，为创新主体技术交易、中试熟化、成果转化等提供“全链条”“一站式”服务，畅通成果转化“最后一公里”。常态化开展产学研对接，健全完善以企业为主体、以需求为牵引的科技成果转移转化体系，持续深化与</w:t>
      </w:r>
      <w:r>
        <w:rPr>
          <w:rFonts w:hint="eastAsia" w:ascii="仿宋_GB2312" w:hAnsi="仿宋_GB2312" w:eastAsia="仿宋_GB2312" w:cs="仿宋_GB2312"/>
          <w:color w:val="auto"/>
          <w:kern w:val="0"/>
          <w:sz w:val="32"/>
          <w:szCs w:val="32"/>
          <w:highlight w:val="none"/>
          <w:lang w:val="en-US" w:eastAsia="zh-CN"/>
        </w:rPr>
        <w:t>中科院青能所、中国科学技术大学、</w:t>
      </w:r>
      <w:r>
        <w:rPr>
          <w:rFonts w:hint="eastAsia" w:ascii="仿宋_GB2312" w:hAnsi="仿宋_GB2312" w:eastAsia="仿宋_GB2312" w:cs="仿宋_GB2312"/>
          <w:color w:val="auto"/>
          <w:kern w:val="0"/>
          <w:sz w:val="32"/>
          <w:szCs w:val="32"/>
          <w:highlight w:val="none"/>
          <w:lang w:val="zh-CN"/>
        </w:rPr>
        <w:t>吉林大学等高校院所产学研合作，实现技术需求和科技成果精准匹配。支持转化服务公共平台建设，鼓励龙头企业、高校院所、社会资本等根据我区产业需求建立转化服务公共平台，</w:t>
      </w:r>
      <w:r>
        <w:rPr>
          <w:rFonts w:hint="eastAsia" w:ascii="仿宋_GB2312" w:hAnsi="仿宋_GB2312" w:eastAsia="仿宋_GB2312" w:cs="仿宋_GB2312"/>
          <w:color w:val="auto"/>
          <w:kern w:val="0"/>
          <w:sz w:val="32"/>
          <w:szCs w:val="32"/>
          <w:highlight w:val="none"/>
          <w:lang w:val="en-US" w:eastAsia="zh-CN"/>
        </w:rPr>
        <w:t>探索建设概念验证中心，将创新概念和基础研究成果转化为具有潜在商业价值的成果</w:t>
      </w:r>
      <w:r>
        <w:rPr>
          <w:rFonts w:hint="eastAsia" w:ascii="仿宋_GB2312" w:hAnsi="仿宋_GB2312" w:eastAsia="仿宋_GB2312" w:cs="仿宋_GB2312"/>
          <w:color w:val="auto"/>
          <w:kern w:val="0"/>
          <w:sz w:val="32"/>
          <w:szCs w:val="32"/>
          <w:highlight w:val="none"/>
          <w:lang w:val="zh-CN"/>
        </w:rPr>
        <w:t>。</w:t>
      </w:r>
    </w:p>
    <w:p w14:paraId="3E919FFD">
      <w:pPr>
        <w:pageBreakBefore w:val="0"/>
        <w:widowControl w:val="0"/>
        <w:kinsoku/>
        <w:wordWrap/>
        <w:overflowPunct/>
        <w:topLinePunct w:val="0"/>
        <w:autoSpaceDE/>
        <w:bidi w:val="0"/>
        <w:adjustRightInd w:val="0"/>
        <w:snapToGrid w:val="0"/>
        <w:spacing w:line="600" w:lineRule="exact"/>
        <w:ind w:firstLine="643" w:firstLineChars="200"/>
        <w:textAlignment w:val="auto"/>
        <w:rPr>
          <w:rFonts w:ascii="仿宋_GB2312" w:hAnsi="仿宋_GB2312" w:eastAsia="仿宋_GB2312" w:cs="仿宋_GB2312"/>
          <w:color w:val="auto"/>
          <w:kern w:val="0"/>
          <w:sz w:val="32"/>
          <w:szCs w:val="32"/>
          <w:highlight w:val="none"/>
          <w:lang w:val="zh-CN"/>
        </w:rPr>
      </w:pPr>
      <w:r>
        <w:rPr>
          <w:rFonts w:hint="eastAsia" w:ascii="仿宋_GB2312" w:hAnsi="仿宋_GB2312" w:eastAsia="仿宋_GB2312" w:cs="仿宋_GB2312"/>
          <w:b/>
          <w:bCs/>
          <w:color w:val="auto"/>
          <w:kern w:val="0"/>
          <w:sz w:val="32"/>
          <w:szCs w:val="32"/>
          <w:highlight w:val="none"/>
          <w:lang w:val="zh-CN"/>
        </w:rPr>
        <w:t>加强创新孵化平台建设。</w:t>
      </w:r>
      <w:r>
        <w:rPr>
          <w:rFonts w:hint="eastAsia" w:ascii="仿宋_GB2312" w:hAnsi="仿宋_GB2312" w:eastAsia="仿宋_GB2312" w:cs="仿宋_GB2312"/>
          <w:color w:val="auto"/>
          <w:kern w:val="0"/>
          <w:sz w:val="32"/>
          <w:szCs w:val="32"/>
          <w:highlight w:val="none"/>
          <w:lang w:val="zh-CN"/>
        </w:rPr>
        <w:t>充分发挥科技企业孵化器等平台载体作用，提升科技研发、创业辅导、技术转移等专业化服务水平，优化</w:t>
      </w:r>
      <w:r>
        <w:rPr>
          <w:rFonts w:hint="eastAsia" w:ascii="仿宋_GB2312" w:hAnsi="仿宋_GB2312" w:eastAsia="仿宋_GB2312" w:cs="仿宋_GB2312"/>
          <w:color w:val="auto"/>
          <w:kern w:val="0"/>
          <w:sz w:val="32"/>
          <w:szCs w:val="32"/>
          <w:highlight w:val="none"/>
          <w:lang w:val="zh-CN" w:eastAsia="zh-CN"/>
        </w:rPr>
        <w:t>“</w:t>
      </w:r>
      <w:r>
        <w:rPr>
          <w:rFonts w:hint="default" w:ascii="仿宋_GB2312" w:hAnsi="仿宋_GB2312" w:eastAsia="仿宋_GB2312" w:cs="仿宋_GB2312"/>
          <w:color w:val="auto"/>
          <w:kern w:val="0"/>
          <w:sz w:val="32"/>
          <w:szCs w:val="32"/>
          <w:highlight w:val="none"/>
          <w:lang w:val="en-US" w:eastAsia="zh-CN"/>
        </w:rPr>
        <w:t>研发平台</w:t>
      </w:r>
      <w:r>
        <w:rPr>
          <w:rFonts w:hint="eastAsia" w:ascii="仿宋_GB2312" w:hAnsi="仿宋_GB2312" w:eastAsia="仿宋_GB2312" w:cs="仿宋_GB2312"/>
          <w:color w:val="auto"/>
          <w:kern w:val="0"/>
          <w:sz w:val="32"/>
          <w:szCs w:val="32"/>
          <w:highlight w:val="none"/>
          <w:lang w:val="zh-CN" w:eastAsia="zh-CN"/>
        </w:rPr>
        <w:t>—</w:t>
      </w:r>
      <w:r>
        <w:rPr>
          <w:rFonts w:hint="default" w:ascii="仿宋_GB2312" w:hAnsi="仿宋_GB2312" w:eastAsia="仿宋_GB2312" w:cs="仿宋_GB2312"/>
          <w:color w:val="auto"/>
          <w:kern w:val="0"/>
          <w:sz w:val="32"/>
          <w:szCs w:val="32"/>
          <w:highlight w:val="none"/>
          <w:lang w:val="en-US" w:eastAsia="zh-CN"/>
        </w:rPr>
        <w:t>孵化器</w:t>
      </w:r>
      <w:r>
        <w:rPr>
          <w:rFonts w:hint="eastAsia" w:ascii="仿宋_GB2312" w:hAnsi="仿宋_GB2312" w:eastAsia="仿宋_GB2312" w:cs="仿宋_GB2312"/>
          <w:color w:val="auto"/>
          <w:kern w:val="0"/>
          <w:sz w:val="32"/>
          <w:szCs w:val="32"/>
          <w:highlight w:val="none"/>
          <w:lang w:val="zh-CN" w:eastAsia="zh-CN"/>
        </w:rPr>
        <w:t>—</w:t>
      </w:r>
      <w:r>
        <w:rPr>
          <w:rFonts w:hint="default" w:ascii="仿宋_GB2312" w:hAnsi="仿宋_GB2312" w:eastAsia="仿宋_GB2312" w:cs="仿宋_GB2312"/>
          <w:color w:val="auto"/>
          <w:kern w:val="0"/>
          <w:sz w:val="32"/>
          <w:szCs w:val="32"/>
          <w:highlight w:val="none"/>
          <w:lang w:val="en-US" w:eastAsia="zh-CN"/>
        </w:rPr>
        <w:t>产业集群</w:t>
      </w:r>
      <w:r>
        <w:rPr>
          <w:rFonts w:hint="eastAsia" w:ascii="仿宋_GB2312" w:hAnsi="仿宋_GB2312" w:eastAsia="仿宋_GB2312" w:cs="仿宋_GB2312"/>
          <w:color w:val="auto"/>
          <w:kern w:val="0"/>
          <w:sz w:val="32"/>
          <w:szCs w:val="32"/>
          <w:highlight w:val="none"/>
          <w:lang w:val="zh-CN" w:eastAsia="zh-CN"/>
        </w:rPr>
        <w:t>”</w:t>
      </w:r>
      <w:r>
        <w:rPr>
          <w:rFonts w:hint="eastAsia" w:ascii="仿宋_GB2312" w:hAnsi="仿宋_GB2312" w:eastAsia="仿宋_GB2312" w:cs="仿宋_GB2312"/>
          <w:color w:val="auto"/>
          <w:kern w:val="0"/>
          <w:sz w:val="32"/>
          <w:szCs w:val="32"/>
          <w:highlight w:val="none"/>
          <w:lang w:val="zh-CN"/>
        </w:rPr>
        <w:t>孵化链条。鼓励有条件的企业建设</w:t>
      </w:r>
      <w:r>
        <w:rPr>
          <w:rFonts w:hint="default" w:ascii="仿宋_GB2312" w:hAnsi="仿宋_GB2312" w:eastAsia="仿宋_GB2312" w:cs="仿宋_GB2312"/>
          <w:color w:val="auto"/>
          <w:kern w:val="0"/>
          <w:sz w:val="32"/>
          <w:szCs w:val="32"/>
          <w:highlight w:val="none"/>
          <w:lang w:val="en-US" w:eastAsia="zh-CN"/>
        </w:rPr>
        <w:t>生态化专业链条</w:t>
      </w:r>
      <w:r>
        <w:rPr>
          <w:rFonts w:hint="eastAsia" w:ascii="仿宋_GB2312" w:hAnsi="仿宋_GB2312" w:eastAsia="仿宋_GB2312" w:cs="仿宋_GB2312"/>
          <w:color w:val="auto"/>
          <w:kern w:val="0"/>
          <w:sz w:val="32"/>
          <w:szCs w:val="32"/>
          <w:highlight w:val="none"/>
          <w:lang w:val="zh-CN"/>
        </w:rPr>
        <w:t>，形成市场化、专业化的孵化运营机制，积极申报</w:t>
      </w:r>
      <w:r>
        <w:rPr>
          <w:rFonts w:hint="eastAsia" w:ascii="仿宋_GB2312" w:hAnsi="仿宋_GB2312" w:eastAsia="仿宋_GB2312" w:cs="仿宋_GB2312"/>
          <w:color w:val="auto"/>
          <w:kern w:val="0"/>
          <w:sz w:val="32"/>
          <w:szCs w:val="32"/>
          <w:highlight w:val="none"/>
          <w:lang w:val="zh-CN" w:eastAsia="zh-CN"/>
        </w:rPr>
        <w:t>省部级</w:t>
      </w:r>
      <w:r>
        <w:rPr>
          <w:rFonts w:hint="eastAsia" w:ascii="仿宋_GB2312" w:hAnsi="仿宋_GB2312" w:eastAsia="仿宋_GB2312" w:cs="仿宋_GB2312"/>
          <w:color w:val="auto"/>
          <w:kern w:val="0"/>
          <w:sz w:val="32"/>
          <w:szCs w:val="32"/>
          <w:highlight w:val="none"/>
          <w:lang w:val="zh-CN"/>
        </w:rPr>
        <w:t>科技企业孵化器。支持孵化器加强与技术转移机构、技术经理人团队合作，配备高水平的研发辅助团队和技术咨询专家，为创业企业提供研发生产系统解决方案、高可靠性集成设计、测试及交付实施等服务，增强成果转化落地服务能力。</w:t>
      </w:r>
    </w:p>
    <w:p w14:paraId="0D6B479A">
      <w:pPr>
        <w:pageBreakBefore w:val="0"/>
        <w:widowControl w:val="0"/>
        <w:kinsoku/>
        <w:wordWrap/>
        <w:overflowPunct/>
        <w:topLinePunct w:val="0"/>
        <w:autoSpaceDE/>
        <w:bidi w:val="0"/>
        <w:adjustRightInd w:val="0"/>
        <w:snapToGrid w:val="0"/>
        <w:spacing w:line="600" w:lineRule="exact"/>
        <w:ind w:firstLine="643" w:firstLineChars="200"/>
        <w:textAlignment w:val="auto"/>
        <w:rPr>
          <w:rFonts w:hint="eastAsia" w:ascii="仿宋_GB2312" w:hAnsi="仿宋_GB2312" w:eastAsia="仿宋_GB2312" w:cs="仿宋_GB2312"/>
          <w:color w:val="auto"/>
          <w:kern w:val="0"/>
          <w:sz w:val="32"/>
          <w:szCs w:val="32"/>
          <w:highlight w:val="none"/>
          <w:lang w:val="zh-CN"/>
        </w:rPr>
      </w:pPr>
      <w:r>
        <w:rPr>
          <w:rFonts w:hint="eastAsia" w:ascii="仿宋_GB2312" w:hAnsi="仿宋_GB2312" w:eastAsia="仿宋_GB2312" w:cs="仿宋_GB2312"/>
          <w:b/>
          <w:bCs/>
          <w:color w:val="auto"/>
          <w:kern w:val="0"/>
          <w:sz w:val="32"/>
          <w:szCs w:val="32"/>
          <w:highlight w:val="none"/>
          <w:lang w:val="zh-CN"/>
        </w:rPr>
        <w:t>实施知识产权强区战略。</w:t>
      </w:r>
      <w:r>
        <w:rPr>
          <w:rFonts w:hint="eastAsia" w:ascii="仿宋_GB2312" w:hAnsi="仿宋_GB2312" w:eastAsia="仿宋_GB2312" w:cs="仿宋_GB2312"/>
          <w:color w:val="auto"/>
          <w:kern w:val="0"/>
          <w:sz w:val="32"/>
          <w:szCs w:val="32"/>
          <w:highlight w:val="none"/>
          <w:lang w:val="zh-CN"/>
        </w:rPr>
        <w:t>推进高价值知识产权培育行动，探索开展</w:t>
      </w:r>
      <w:r>
        <w:rPr>
          <w:rFonts w:hint="eastAsia" w:ascii="仿宋_GB2312" w:hAnsi="宋体" w:eastAsia="仿宋_GB2312"/>
          <w:bCs/>
          <w:color w:val="auto"/>
          <w:sz w:val="32"/>
          <w:szCs w:val="32"/>
          <w:highlight w:val="none"/>
        </w:rPr>
        <w:t>“锂机材纺纸”</w:t>
      </w:r>
      <w:r>
        <w:rPr>
          <w:rFonts w:hint="eastAsia" w:ascii="仿宋_GB2312" w:hAnsi="宋体" w:eastAsia="仿宋_GB2312"/>
          <w:bCs/>
          <w:color w:val="auto"/>
          <w:sz w:val="32"/>
          <w:szCs w:val="32"/>
          <w:highlight w:val="none"/>
          <w:lang w:val="en-US" w:eastAsia="zh-CN"/>
        </w:rPr>
        <w:t>五大主导</w:t>
      </w:r>
      <w:r>
        <w:rPr>
          <w:rFonts w:hint="eastAsia" w:ascii="仿宋_GB2312" w:hAnsi="宋体" w:eastAsia="仿宋_GB2312"/>
          <w:bCs/>
          <w:color w:val="auto"/>
          <w:sz w:val="32"/>
          <w:szCs w:val="32"/>
          <w:highlight w:val="none"/>
        </w:rPr>
        <w:t>产业</w:t>
      </w:r>
      <w:r>
        <w:rPr>
          <w:rFonts w:hint="eastAsia" w:ascii="仿宋_GB2312" w:hAnsi="宋体" w:eastAsia="仿宋_GB2312"/>
          <w:bCs/>
          <w:color w:val="auto"/>
          <w:sz w:val="32"/>
          <w:szCs w:val="32"/>
          <w:highlight w:val="none"/>
          <w:lang w:val="en-US" w:eastAsia="zh-CN"/>
        </w:rPr>
        <w:t>产业</w:t>
      </w:r>
      <w:r>
        <w:rPr>
          <w:rFonts w:hint="eastAsia" w:ascii="仿宋_GB2312" w:hAnsi="宋体" w:eastAsia="仿宋_GB2312"/>
          <w:bCs/>
          <w:color w:val="auto"/>
          <w:sz w:val="32"/>
          <w:szCs w:val="32"/>
          <w:highlight w:val="none"/>
        </w:rPr>
        <w:t>链</w:t>
      </w:r>
      <w:r>
        <w:rPr>
          <w:rFonts w:hint="eastAsia" w:ascii="仿宋_GB2312" w:hAnsi="仿宋_GB2312" w:eastAsia="仿宋_GB2312" w:cs="仿宋_GB2312"/>
          <w:color w:val="auto"/>
          <w:kern w:val="0"/>
          <w:sz w:val="32"/>
          <w:szCs w:val="32"/>
          <w:highlight w:val="none"/>
          <w:lang w:val="zh-CN"/>
        </w:rPr>
        <w:t>专利导航，构建“创造+保护+运用”整体格局，推动专利密集型产业提质增效。加强知识产权快速协同保护、维权援助，做好知识产权侵权纠纷行政裁决、行政调解等工作，推进知识产权高标准保护。大力提升知识产权市场融资能力，鼓励邮储银行、农商银行以外的金融机构加快构建省级评估合作机制，拓展知识产权融资业务。筛选40家企业建立专利质押融资重点企业库。到2030年，全区每万人口高价值发明专利拥有量超过</w:t>
      </w:r>
      <w:r>
        <w:rPr>
          <w:rFonts w:hint="eastAsia" w:ascii="仿宋_GB2312" w:hAnsi="仿宋_GB2312" w:eastAsia="仿宋_GB2312" w:cs="仿宋_GB2312"/>
          <w:color w:val="auto"/>
          <w:kern w:val="0"/>
          <w:sz w:val="32"/>
          <w:szCs w:val="32"/>
          <w:highlight w:val="none"/>
          <w:lang w:val="en-US" w:eastAsia="zh-CN"/>
        </w:rPr>
        <w:t>4.27</w:t>
      </w:r>
      <w:r>
        <w:rPr>
          <w:rFonts w:hint="eastAsia" w:ascii="仿宋_GB2312" w:hAnsi="仿宋_GB2312" w:eastAsia="仿宋_GB2312" w:cs="仿宋_GB2312"/>
          <w:color w:val="auto"/>
          <w:kern w:val="0"/>
          <w:sz w:val="32"/>
          <w:szCs w:val="32"/>
          <w:highlight w:val="none"/>
          <w:lang w:val="zh-CN"/>
        </w:rPr>
        <w:t>件，专利质押融资额突破4亿元。</w:t>
      </w:r>
    </w:p>
    <w:p w14:paraId="4BCB9959">
      <w:pPr>
        <w:pageBreakBefore w:val="0"/>
        <w:widowControl w:val="0"/>
        <w:kinsoku/>
        <w:wordWrap/>
        <w:overflowPunct/>
        <w:topLinePunct w:val="0"/>
        <w:autoSpaceDE/>
        <w:bidi w:val="0"/>
        <w:adjustRightInd w:val="0"/>
        <w:snapToGrid w:val="0"/>
        <w:spacing w:line="600" w:lineRule="exact"/>
        <w:ind w:firstLine="643" w:firstLineChars="200"/>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b/>
          <w:bCs/>
          <w:color w:val="auto"/>
          <w:kern w:val="0"/>
          <w:sz w:val="32"/>
          <w:szCs w:val="32"/>
          <w:highlight w:val="none"/>
          <w:lang w:val="zh-CN"/>
        </w:rPr>
        <w:t>打造科技金融资金池。</w:t>
      </w:r>
      <w:r>
        <w:rPr>
          <w:rFonts w:hint="eastAsia" w:ascii="仿宋_GB2312" w:hAnsi="仿宋_GB2312" w:eastAsia="仿宋_GB2312" w:cs="仿宋_GB2312"/>
          <w:i w:val="0"/>
          <w:iCs w:val="0"/>
          <w:caps w:val="0"/>
          <w:color w:val="auto"/>
          <w:spacing w:val="7"/>
          <w:sz w:val="32"/>
          <w:szCs w:val="32"/>
          <w:highlight w:val="none"/>
        </w:rPr>
        <w:t>构建多元融合的科技金融生态，健全科融信综合服务机制，</w:t>
      </w:r>
      <w:r>
        <w:rPr>
          <w:rFonts w:hint="eastAsia" w:ascii="仿宋_GB2312" w:hAnsi="仿宋_GB2312" w:eastAsia="仿宋_GB2312" w:cs="仿宋_GB2312"/>
          <w:color w:val="auto"/>
          <w:kern w:val="0"/>
          <w:sz w:val="32"/>
          <w:szCs w:val="32"/>
          <w:highlight w:val="none"/>
          <w:lang w:bidi="ar"/>
        </w:rPr>
        <w:t>加强</w:t>
      </w:r>
      <w:r>
        <w:rPr>
          <w:rFonts w:hint="eastAsia" w:ascii="仿宋_GB2312" w:hAnsi="仿宋_GB2312" w:eastAsia="仿宋_GB2312" w:cs="仿宋_GB2312"/>
          <w:color w:val="auto"/>
          <w:kern w:val="0"/>
          <w:sz w:val="32"/>
          <w:szCs w:val="32"/>
          <w:highlight w:val="none"/>
          <w:lang w:eastAsia="zh-CN" w:bidi="ar"/>
        </w:rPr>
        <w:t>“</w:t>
      </w:r>
      <w:r>
        <w:rPr>
          <w:rFonts w:hint="eastAsia" w:ascii="仿宋_GB2312" w:hAnsi="仿宋_GB2312" w:eastAsia="仿宋_GB2312" w:cs="仿宋_GB2312"/>
          <w:color w:val="auto"/>
          <w:kern w:val="0"/>
          <w:sz w:val="32"/>
          <w:szCs w:val="32"/>
          <w:highlight w:val="none"/>
          <w:lang w:bidi="ar"/>
        </w:rPr>
        <w:t>鲁科贷</w:t>
      </w:r>
      <w:r>
        <w:rPr>
          <w:rFonts w:hint="eastAsia" w:ascii="仿宋_GB2312" w:hAnsi="仿宋_GB2312" w:eastAsia="仿宋_GB2312" w:cs="仿宋_GB2312"/>
          <w:color w:val="auto"/>
          <w:kern w:val="0"/>
          <w:sz w:val="32"/>
          <w:szCs w:val="32"/>
          <w:highlight w:val="none"/>
          <w:lang w:eastAsia="zh-CN" w:bidi="ar"/>
        </w:rPr>
        <w:t>”“</w:t>
      </w:r>
      <w:r>
        <w:rPr>
          <w:rFonts w:hint="eastAsia" w:ascii="仿宋_GB2312" w:hAnsi="仿宋_GB2312" w:eastAsia="仿宋_GB2312" w:cs="仿宋_GB2312"/>
          <w:color w:val="auto"/>
          <w:kern w:val="0"/>
          <w:sz w:val="32"/>
          <w:szCs w:val="32"/>
          <w:highlight w:val="none"/>
          <w:lang w:val="en-US" w:eastAsia="zh-CN" w:bidi="ar"/>
        </w:rPr>
        <w:t>鲁科保</w:t>
      </w:r>
      <w:r>
        <w:rPr>
          <w:rFonts w:hint="eastAsia" w:ascii="仿宋_GB2312" w:hAnsi="仿宋_GB2312" w:eastAsia="仿宋_GB2312" w:cs="仿宋_GB2312"/>
          <w:color w:val="auto"/>
          <w:kern w:val="0"/>
          <w:sz w:val="32"/>
          <w:szCs w:val="32"/>
          <w:highlight w:val="none"/>
          <w:lang w:eastAsia="zh-CN" w:bidi="ar"/>
        </w:rPr>
        <w:t>”</w:t>
      </w:r>
      <w:r>
        <w:rPr>
          <w:rFonts w:hint="eastAsia" w:ascii="仿宋_GB2312" w:hAnsi="仿宋_GB2312" w:eastAsia="仿宋_GB2312" w:cs="仿宋_GB2312"/>
          <w:color w:val="auto"/>
          <w:kern w:val="0"/>
          <w:sz w:val="32"/>
          <w:szCs w:val="32"/>
          <w:highlight w:val="none"/>
          <w:lang w:bidi="ar"/>
        </w:rPr>
        <w:t>等</w:t>
      </w:r>
      <w:r>
        <w:rPr>
          <w:rFonts w:ascii="仿宋_GB2312" w:hAnsi="仿宋_GB2312" w:eastAsia="仿宋_GB2312" w:cs="仿宋_GB2312"/>
          <w:color w:val="auto"/>
          <w:kern w:val="0"/>
          <w:sz w:val="32"/>
          <w:szCs w:val="32"/>
          <w:highlight w:val="none"/>
          <w:lang w:bidi="ar"/>
        </w:rPr>
        <w:t>政策宣传</w:t>
      </w:r>
      <w:r>
        <w:rPr>
          <w:rFonts w:hint="eastAsia" w:ascii="仿宋_GB2312" w:hAnsi="仿宋_GB2312" w:eastAsia="仿宋_GB2312" w:cs="仿宋_GB2312"/>
          <w:color w:val="auto"/>
          <w:kern w:val="0"/>
          <w:sz w:val="32"/>
          <w:szCs w:val="32"/>
          <w:highlight w:val="none"/>
          <w:lang w:bidi="ar"/>
        </w:rPr>
        <w:t>和推广力度</w:t>
      </w:r>
      <w:r>
        <w:rPr>
          <w:rFonts w:ascii="仿宋_GB2312" w:hAnsi="仿宋_GB2312" w:eastAsia="仿宋_GB2312" w:cs="仿宋_GB2312"/>
          <w:color w:val="auto"/>
          <w:kern w:val="0"/>
          <w:sz w:val="32"/>
          <w:szCs w:val="32"/>
          <w:highlight w:val="none"/>
          <w:lang w:bidi="ar"/>
        </w:rPr>
        <w:t>，促进“科技—产业—金融”良性循环。</w:t>
      </w:r>
      <w:r>
        <w:rPr>
          <w:rFonts w:hint="eastAsia" w:ascii="仿宋_GB2312" w:hAnsi="仿宋_GB2312" w:eastAsia="仿宋_GB2312" w:cs="仿宋_GB2312"/>
          <w:color w:val="auto"/>
          <w:kern w:val="0"/>
          <w:sz w:val="32"/>
          <w:szCs w:val="32"/>
          <w:highlight w:val="none"/>
          <w:lang w:val="en-US" w:eastAsia="zh-CN"/>
        </w:rPr>
        <w:t>支持</w:t>
      </w:r>
      <w:r>
        <w:rPr>
          <w:rFonts w:ascii="仿宋_GB2312" w:hAnsi="仿宋_GB2312" w:eastAsia="仿宋_GB2312" w:cs="仿宋_GB2312"/>
          <w:color w:val="auto"/>
          <w:kern w:val="0"/>
          <w:sz w:val="32"/>
          <w:szCs w:val="32"/>
          <w:highlight w:val="none"/>
        </w:rPr>
        <w:t>企业积极参与省</w:t>
      </w:r>
      <w:r>
        <w:rPr>
          <w:rFonts w:hint="eastAsia" w:ascii="仿宋_GB2312" w:hAnsi="仿宋_GB2312" w:eastAsia="仿宋_GB2312" w:cs="仿宋_GB2312"/>
          <w:color w:val="auto"/>
          <w:kern w:val="0"/>
          <w:sz w:val="32"/>
          <w:szCs w:val="32"/>
          <w:highlight w:val="none"/>
          <w:lang w:val="en-US" w:eastAsia="zh-CN"/>
        </w:rPr>
        <w:t>级</w:t>
      </w:r>
      <w:r>
        <w:rPr>
          <w:rFonts w:ascii="仿宋_GB2312" w:hAnsi="仿宋_GB2312" w:eastAsia="仿宋_GB2312" w:cs="仿宋_GB2312"/>
          <w:color w:val="auto"/>
          <w:kern w:val="0"/>
          <w:sz w:val="32"/>
          <w:szCs w:val="32"/>
          <w:highlight w:val="none"/>
        </w:rPr>
        <w:t>“先</w:t>
      </w:r>
      <w:r>
        <w:rPr>
          <w:rFonts w:hint="eastAsia" w:ascii="仿宋_GB2312" w:hAnsi="仿宋_GB2312" w:eastAsia="仿宋_GB2312" w:cs="仿宋_GB2312"/>
          <w:color w:val="auto"/>
          <w:kern w:val="0"/>
          <w:sz w:val="32"/>
          <w:szCs w:val="32"/>
          <w:highlight w:val="none"/>
          <w:lang w:val="en-US" w:eastAsia="zh-CN"/>
        </w:rPr>
        <w:t>拨</w:t>
      </w:r>
      <w:r>
        <w:rPr>
          <w:rFonts w:ascii="仿宋_GB2312" w:hAnsi="仿宋_GB2312" w:eastAsia="仿宋_GB2312" w:cs="仿宋_GB2312"/>
          <w:color w:val="auto"/>
          <w:kern w:val="0"/>
          <w:sz w:val="32"/>
          <w:szCs w:val="32"/>
          <w:highlight w:val="none"/>
        </w:rPr>
        <w:t>后股”“拨投</w:t>
      </w:r>
      <w:r>
        <w:rPr>
          <w:rFonts w:hint="eastAsia" w:ascii="仿宋_GB2312" w:hAnsi="仿宋_GB2312" w:eastAsia="仿宋_GB2312" w:cs="仿宋_GB2312"/>
          <w:color w:val="auto"/>
          <w:kern w:val="0"/>
          <w:sz w:val="32"/>
          <w:szCs w:val="32"/>
          <w:highlight w:val="none"/>
          <w:lang w:val="en-US" w:eastAsia="zh-CN"/>
        </w:rPr>
        <w:t>结合</w:t>
      </w:r>
      <w:r>
        <w:rPr>
          <w:rFonts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股权直投”等科技项目</w:t>
      </w:r>
      <w:r>
        <w:rPr>
          <w:rFonts w:hint="eastAsia" w:ascii="仿宋_GB2312" w:hAnsi="仿宋_GB2312" w:eastAsia="仿宋_GB2312" w:cs="仿宋_GB2312"/>
          <w:i w:val="0"/>
          <w:iCs w:val="0"/>
          <w:caps w:val="0"/>
          <w:color w:val="auto"/>
          <w:spacing w:val="7"/>
          <w:sz w:val="32"/>
          <w:szCs w:val="32"/>
          <w:highlight w:val="none"/>
        </w:rPr>
        <w:t>，推动投早、投小、投长期、投硬科技。</w:t>
      </w:r>
      <w:r>
        <w:rPr>
          <w:rFonts w:ascii="仿宋_GB2312" w:hAnsi="仿宋_GB2312" w:eastAsia="仿宋_GB2312" w:cs="仿宋_GB2312"/>
          <w:color w:val="auto"/>
          <w:kern w:val="0"/>
          <w:sz w:val="32"/>
          <w:szCs w:val="32"/>
          <w:highlight w:val="none"/>
        </w:rPr>
        <w:t>鼓励企业使用创新券，对符合条件的企业科技创新活动给予补助。</w:t>
      </w:r>
      <w:r>
        <w:rPr>
          <w:rFonts w:hint="eastAsia" w:ascii="仿宋_GB2312" w:hAnsi="仿宋_GB2312" w:eastAsia="仿宋_GB2312" w:cs="仿宋_GB2312"/>
          <w:color w:val="auto"/>
          <w:kern w:val="0"/>
          <w:sz w:val="32"/>
          <w:szCs w:val="32"/>
          <w:highlight w:val="none"/>
        </w:rPr>
        <w:t>构建长效金融支持体系</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深化</w:t>
      </w:r>
      <w:r>
        <w:rPr>
          <w:rFonts w:hint="eastAsia" w:ascii="仿宋_GB2312" w:hAnsi="仿宋_GB2312" w:eastAsia="仿宋_GB2312" w:cs="仿宋_GB2312"/>
          <w:color w:val="auto"/>
          <w:kern w:val="0"/>
          <w:sz w:val="32"/>
          <w:szCs w:val="32"/>
          <w:highlight w:val="none"/>
        </w:rPr>
        <w:t>政银担</w:t>
      </w:r>
      <w:r>
        <w:rPr>
          <w:rFonts w:hint="eastAsia" w:ascii="仿宋_GB2312" w:hAnsi="仿宋_GB2312" w:eastAsia="仿宋_GB2312" w:cs="仿宋_GB2312"/>
          <w:color w:val="auto"/>
          <w:kern w:val="0"/>
          <w:sz w:val="32"/>
          <w:szCs w:val="32"/>
          <w:highlight w:val="none"/>
          <w:lang w:val="en-US" w:eastAsia="zh-CN"/>
        </w:rPr>
        <w:t>协同机制</w:t>
      </w:r>
      <w:r>
        <w:rPr>
          <w:rFonts w:hint="eastAsia" w:ascii="仿宋_GB2312" w:hAnsi="仿宋_GB2312" w:eastAsia="仿宋_GB2312" w:cs="仿宋_GB2312"/>
          <w:color w:val="auto"/>
          <w:kern w:val="0"/>
          <w:sz w:val="32"/>
          <w:szCs w:val="32"/>
          <w:highlight w:val="none"/>
        </w:rPr>
        <w:t>，通过多元化、精准化的金融服务与辅导，系统性地破解企业融资难题。</w:t>
      </w:r>
    </w:p>
    <w:p w14:paraId="31587A17">
      <w:pPr>
        <w:pageBreakBefore w:val="0"/>
        <w:widowControl w:val="0"/>
        <w:kinsoku/>
        <w:wordWrap/>
        <w:overflowPunct/>
        <w:topLinePunct w:val="0"/>
        <w:autoSpaceDE/>
        <w:bidi w:val="0"/>
        <w:adjustRightInd w:val="0"/>
        <w:snapToGrid w:val="0"/>
        <w:spacing w:line="600" w:lineRule="exact"/>
        <w:ind w:firstLine="640" w:firstLineChars="200"/>
        <w:textAlignment w:val="auto"/>
        <w:rPr>
          <w:rFonts w:hint="eastAsia" w:ascii="仿宋_GB2312" w:hAnsi="仿宋_GB2312" w:eastAsia="仿宋_GB2312" w:cs="仿宋_GB2312"/>
          <w:color w:val="auto"/>
          <w:kern w:val="0"/>
          <w:sz w:val="32"/>
          <w:szCs w:val="32"/>
          <w:highlight w:val="none"/>
        </w:rPr>
      </w:pPr>
    </w:p>
    <w:p w14:paraId="218EC6A1">
      <w:pPr>
        <w:pStyle w:val="2"/>
        <w:rPr>
          <w:rFonts w:hint="eastAsia"/>
        </w:rPr>
      </w:pPr>
    </w:p>
    <w:p w14:paraId="68FFB55A">
      <w:pPr>
        <w:pageBreakBefore w:val="0"/>
        <w:widowControl w:val="0"/>
        <w:kinsoku/>
        <w:wordWrap/>
        <w:overflowPunct/>
        <w:topLinePunct w:val="0"/>
        <w:autoSpaceDE/>
        <w:bidi w:val="0"/>
        <w:adjustRightInd w:val="0"/>
        <w:snapToGrid w:val="0"/>
        <w:spacing w:line="600" w:lineRule="exact"/>
        <w:ind w:firstLine="640" w:firstLineChars="200"/>
        <w:textAlignment w:val="auto"/>
        <w:rPr>
          <w:rFonts w:hint="eastAsia" w:ascii="仿宋_GB2312" w:hAnsi="仿宋_GB2312" w:eastAsia="仿宋_GB2312" w:cs="仿宋_GB2312"/>
          <w:color w:val="auto"/>
          <w:kern w:val="0"/>
          <w:sz w:val="32"/>
          <w:szCs w:val="32"/>
          <w:highlight w:val="none"/>
        </w:rPr>
      </w:pPr>
    </w:p>
    <w:p w14:paraId="6E6DD160">
      <w:pPr>
        <w:pageBreakBefore w:val="0"/>
        <w:widowControl w:val="0"/>
        <w:kinsoku/>
        <w:wordWrap/>
        <w:overflowPunct/>
        <w:topLinePunct w:val="0"/>
        <w:autoSpaceDE/>
        <w:bidi w:val="0"/>
        <w:adjustRightInd w:val="0"/>
        <w:snapToGrid w:val="0"/>
        <w:spacing w:line="600" w:lineRule="exact"/>
        <w:ind w:firstLine="640" w:firstLineChars="200"/>
        <w:textAlignment w:val="auto"/>
        <w:rPr>
          <w:rFonts w:hint="eastAsia" w:ascii="仿宋_GB2312" w:hAnsi="仿宋_GB2312" w:eastAsia="仿宋_GB2312" w:cs="仿宋_GB2312"/>
          <w:color w:val="auto"/>
          <w:kern w:val="0"/>
          <w:sz w:val="32"/>
          <w:szCs w:val="32"/>
          <w:highlight w:val="none"/>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0EBF2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296" w:type="dxa"/>
            <w:noWrap w:val="0"/>
            <w:vAlign w:val="center"/>
          </w:tcPr>
          <w:p w14:paraId="6D380888">
            <w:pPr>
              <w:jc w:val="center"/>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专栏</w:t>
            </w:r>
            <w:r>
              <w:rPr>
                <w:rFonts w:hint="eastAsia" w:ascii="黑体" w:hAnsi="黑体" w:eastAsia="黑体" w:cs="宋体"/>
                <w:bCs/>
                <w:color w:val="auto"/>
                <w:sz w:val="28"/>
                <w:szCs w:val="28"/>
                <w:highlight w:val="none"/>
                <w:lang w:val="en-US" w:eastAsia="zh-CN"/>
              </w:rPr>
              <w:t>3</w:t>
            </w:r>
            <w:r>
              <w:rPr>
                <w:rFonts w:hint="eastAsia" w:ascii="黑体" w:hAnsi="黑体" w:eastAsia="黑体" w:cs="宋体"/>
                <w:bCs/>
                <w:color w:val="auto"/>
                <w:sz w:val="28"/>
                <w:szCs w:val="28"/>
                <w:highlight w:val="none"/>
              </w:rPr>
              <w:t>：科技创新重点项目</w:t>
            </w:r>
          </w:p>
        </w:tc>
      </w:tr>
      <w:tr w14:paraId="75CCB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noWrap w:val="0"/>
            <w:vAlign w:val="top"/>
          </w:tcPr>
          <w:p w14:paraId="73CF3C54">
            <w:pPr>
              <w:keepNext w:val="0"/>
              <w:keepLines w:val="0"/>
              <w:pageBreakBefore w:val="0"/>
              <w:widowControl w:val="0"/>
              <w:kinsoku/>
              <w:wordWrap/>
              <w:overflowPunct/>
              <w:topLinePunct w:val="0"/>
              <w:autoSpaceDE/>
              <w:autoSpaceDN/>
              <w:bidi w:val="0"/>
              <w:adjustRightInd/>
              <w:snapToGrid/>
              <w:spacing w:line="600" w:lineRule="exact"/>
              <w:ind w:firstLine="562" w:firstLineChars="200"/>
              <w:textAlignment w:val="auto"/>
              <w:rPr>
                <w:rFonts w:ascii="仿宋_GB2312" w:hAnsi="宋体" w:eastAsia="仿宋_GB2312" w:cs="宋体"/>
                <w:bCs/>
                <w:color w:val="auto"/>
                <w:sz w:val="28"/>
                <w:szCs w:val="28"/>
                <w:highlight w:val="none"/>
              </w:rPr>
            </w:pPr>
            <w:r>
              <w:rPr>
                <w:rFonts w:hint="eastAsia" w:ascii="仿宋_GB2312" w:hAnsi="宋体" w:eastAsia="仿宋_GB2312" w:cs="宋体"/>
                <w:b/>
                <w:bCs w:val="0"/>
                <w:color w:val="auto"/>
                <w:sz w:val="28"/>
                <w:szCs w:val="28"/>
                <w:highlight w:val="none"/>
              </w:rPr>
              <w:t>创新平台：</w:t>
            </w:r>
            <w:r>
              <w:rPr>
                <w:rFonts w:hint="eastAsia" w:ascii="仿宋_GB2312" w:hAnsi="宋体" w:eastAsia="仿宋_GB2312" w:cs="宋体"/>
                <w:bCs/>
                <w:color w:val="auto"/>
                <w:sz w:val="28"/>
                <w:szCs w:val="28"/>
                <w:highlight w:val="none"/>
              </w:rPr>
              <w:t>丰元锂电材料技术创新中心。</w:t>
            </w:r>
          </w:p>
          <w:p w14:paraId="0CD85E0D">
            <w:pPr>
              <w:keepNext w:val="0"/>
              <w:keepLines w:val="0"/>
              <w:pageBreakBefore w:val="0"/>
              <w:widowControl w:val="0"/>
              <w:kinsoku/>
              <w:wordWrap/>
              <w:overflowPunct/>
              <w:topLinePunct w:val="0"/>
              <w:autoSpaceDE/>
              <w:autoSpaceDN/>
              <w:bidi w:val="0"/>
              <w:adjustRightInd/>
              <w:snapToGrid/>
              <w:spacing w:line="600" w:lineRule="exact"/>
              <w:ind w:firstLine="562" w:firstLineChars="200"/>
              <w:textAlignment w:val="auto"/>
              <w:rPr>
                <w:rFonts w:hint="eastAsia" w:ascii="仿宋_GB2312" w:hAnsi="宋体" w:eastAsia="仿宋_GB2312" w:cs="宋体"/>
                <w:bCs/>
                <w:color w:val="auto"/>
                <w:sz w:val="28"/>
                <w:szCs w:val="28"/>
                <w:highlight w:val="none"/>
              </w:rPr>
            </w:pPr>
            <w:r>
              <w:rPr>
                <w:rFonts w:hint="eastAsia" w:ascii="仿宋_GB2312" w:hAnsi="宋体" w:eastAsia="仿宋_GB2312" w:cs="宋体"/>
                <w:b/>
                <w:bCs w:val="0"/>
                <w:color w:val="auto"/>
                <w:sz w:val="28"/>
                <w:szCs w:val="28"/>
                <w:highlight w:val="none"/>
              </w:rPr>
              <w:t>科技服务：</w:t>
            </w:r>
            <w:r>
              <w:rPr>
                <w:rFonts w:hint="eastAsia" w:ascii="仿宋_GB2312" w:hAnsi="宋体" w:eastAsia="仿宋_GB2312" w:cs="宋体"/>
                <w:bCs/>
                <w:color w:val="auto"/>
                <w:sz w:val="28"/>
                <w:szCs w:val="28"/>
                <w:highlight w:val="none"/>
                <w:lang w:val="en-US" w:eastAsia="zh-CN"/>
              </w:rPr>
              <w:t>强化创新主体培育，培育科技型中小企业200家，全区高新技术企业达到100家，带动全社会研发投入持续增长，占GDP比重达到2%，高新技术产值占比58%以上。加强关键核心技术攻关，布局实施50项关键技术攻关项目，推动新产业、新模式、新动能发展。</w:t>
            </w:r>
          </w:p>
        </w:tc>
      </w:tr>
    </w:tbl>
    <w:p w14:paraId="7104A1C1">
      <w:pPr>
        <w:pStyle w:val="12"/>
        <w:adjustRightInd w:val="0"/>
        <w:snapToGrid w:val="0"/>
        <w:spacing w:line="600" w:lineRule="exact"/>
        <w:ind w:firstLine="640" w:firstLineChars="200"/>
        <w:rPr>
          <w:rFonts w:hint="eastAsia" w:ascii="仿宋_GB2312" w:hAnsi="宋体" w:eastAsia="仿宋_GB2312"/>
          <w:color w:val="auto"/>
          <w:sz w:val="32"/>
          <w:szCs w:val="32"/>
          <w:highlight w:val="none"/>
        </w:rPr>
      </w:pPr>
    </w:p>
    <w:p w14:paraId="3B82B1B2">
      <w:pPr>
        <w:pStyle w:val="5"/>
        <w:adjustRightInd w:val="0"/>
        <w:snapToGrid w:val="0"/>
        <w:spacing w:before="0" w:after="0" w:line="600" w:lineRule="exact"/>
        <w:ind w:firstLine="640" w:firstLineChars="200"/>
        <w:jc w:val="center"/>
        <w:rPr>
          <w:rFonts w:hint="eastAsia" w:ascii="黑体" w:hAnsi="黑体" w:eastAsia="黑体"/>
          <w:b w:val="0"/>
          <w:bCs w:val="0"/>
          <w:color w:val="auto"/>
          <w:sz w:val="32"/>
          <w:szCs w:val="32"/>
          <w:highlight w:val="none"/>
        </w:rPr>
        <w:sectPr>
          <w:footnotePr>
            <w:numFmt w:val="decimalEnclosedCircleChinese"/>
            <w:numRestart w:val="eachPage"/>
          </w:footnotePr>
          <w:pgSz w:w="11906" w:h="16838"/>
          <w:pgMar w:top="1984" w:right="1587" w:bottom="1701" w:left="1587" w:header="851" w:footer="1134" w:gutter="0"/>
          <w:pgNumType w:fmt="numberInDash"/>
          <w:cols w:space="720" w:num="1"/>
          <w:docGrid w:type="lines" w:linePitch="312" w:charSpace="0"/>
        </w:sectPr>
      </w:pPr>
    </w:p>
    <w:p w14:paraId="06CF0D1B">
      <w:pPr>
        <w:pStyle w:val="5"/>
        <w:pageBreakBefore w:val="0"/>
        <w:widowControl w:val="0"/>
        <w:kinsoku/>
        <w:wordWrap/>
        <w:overflowPunct/>
        <w:topLinePunct w:val="0"/>
        <w:autoSpaceDE/>
        <w:autoSpaceDN/>
        <w:bidi w:val="0"/>
        <w:adjustRightInd w:val="0"/>
        <w:snapToGrid w:val="0"/>
        <w:spacing w:before="240" w:after="240" w:line="600" w:lineRule="exact"/>
        <w:jc w:val="center"/>
        <w:textAlignment w:val="auto"/>
        <w:rPr>
          <w:rFonts w:ascii="黑体" w:hAnsi="黑体" w:eastAsia="黑体"/>
          <w:b w:val="0"/>
          <w:bCs w:val="0"/>
          <w:color w:val="auto"/>
          <w:sz w:val="32"/>
          <w:szCs w:val="32"/>
          <w:highlight w:val="none"/>
        </w:rPr>
      </w:pPr>
      <w:bookmarkStart w:id="19" w:name="_Toc2276"/>
      <w:r>
        <w:rPr>
          <w:rFonts w:hint="eastAsia" w:ascii="黑体" w:hAnsi="黑体" w:eastAsia="黑体"/>
          <w:b w:val="0"/>
          <w:bCs w:val="0"/>
          <w:color w:val="auto"/>
          <w:sz w:val="32"/>
          <w:szCs w:val="32"/>
          <w:highlight w:val="none"/>
        </w:rPr>
        <w:t>第四章 突出内需动力作用，激活投资消费“双引擎”</w:t>
      </w:r>
      <w:bookmarkEnd w:id="19"/>
    </w:p>
    <w:p w14:paraId="765BB0AF">
      <w:pPr>
        <w:pStyle w:val="12"/>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全面贯彻落实扩大内需战略，放大全国县域商业“领跑县”典型作用，</w:t>
      </w:r>
      <w:r>
        <w:rPr>
          <w:rFonts w:hint="eastAsia" w:ascii="仿宋_GB2312" w:hAnsi="仿宋_GB2312" w:eastAsia="仿宋_GB2312" w:cs="仿宋_GB2312"/>
          <w:color w:val="auto"/>
          <w:sz w:val="32"/>
          <w:szCs w:val="32"/>
          <w:highlight w:val="none"/>
          <w:lang w:eastAsia="zh-CN"/>
        </w:rPr>
        <w:t>抢抓“两重”“两新”</w:t>
      </w:r>
      <w:r>
        <w:rPr>
          <w:rFonts w:hint="eastAsia" w:ascii="仿宋_GB2312" w:hAnsi="仿宋_GB2312" w:eastAsia="仿宋_GB2312" w:cs="仿宋_GB2312"/>
          <w:color w:val="auto"/>
          <w:sz w:val="32"/>
          <w:szCs w:val="32"/>
          <w:highlight w:val="none"/>
        </w:rPr>
        <w:t>、县域经济、新型城镇化、全面推进乡村振兴等机遇，着力激发有潜能的消费、扩大有效益的投资，畅通城乡经济循环，推动“台儿庄制造</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台儿庄品牌”走向更广阔的统一大市场。</w:t>
      </w:r>
    </w:p>
    <w:p w14:paraId="0D13C9D9">
      <w:pPr>
        <w:pStyle w:val="6"/>
        <w:pageBreakBefore w:val="0"/>
        <w:widowControl w:val="0"/>
        <w:kinsoku/>
        <w:wordWrap/>
        <w:overflowPunct/>
        <w:topLinePunct w:val="0"/>
        <w:autoSpaceDE/>
        <w:autoSpaceDN/>
        <w:bidi w:val="0"/>
        <w:adjustRightInd w:val="0"/>
        <w:snapToGrid w:val="0"/>
        <w:textAlignment w:val="auto"/>
        <w:rPr>
          <w:rFonts w:hint="eastAsia"/>
          <w:color w:val="auto"/>
          <w:highlight w:val="none"/>
        </w:rPr>
      </w:pPr>
      <w:bookmarkStart w:id="20" w:name="_Toc3959"/>
      <w:r>
        <w:rPr>
          <w:rFonts w:hint="eastAsia"/>
          <w:color w:val="auto"/>
          <w:highlight w:val="none"/>
        </w:rPr>
        <w:t>第一节 推动消费扩容升级</w:t>
      </w:r>
      <w:bookmarkEnd w:id="20"/>
    </w:p>
    <w:p w14:paraId="059A0F1B">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Times New Roman"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持续丰富消费活动。</w:t>
      </w:r>
      <w:r>
        <w:rPr>
          <w:rFonts w:hint="eastAsia" w:ascii="仿宋_GB2312" w:hAnsi="Times New Roman" w:eastAsia="仿宋_GB2312" w:cs="仿宋_GB2312"/>
          <w:color w:val="auto"/>
          <w:sz w:val="32"/>
          <w:szCs w:val="32"/>
          <w:highlight w:val="none"/>
        </w:rPr>
        <w:t>实施消费惠民助企行动，围绕中秋、国庆</w:t>
      </w:r>
      <w:r>
        <w:rPr>
          <w:rFonts w:hint="eastAsia" w:ascii="仿宋_GB2312" w:hAnsi="Times New Roman" w:eastAsia="仿宋_GB2312" w:cs="仿宋_GB2312"/>
          <w:color w:val="auto"/>
          <w:sz w:val="32"/>
          <w:szCs w:val="32"/>
          <w:highlight w:val="none"/>
          <w:lang w:eastAsia="zh-CN"/>
        </w:rPr>
        <w:t>、</w:t>
      </w:r>
      <w:r>
        <w:rPr>
          <w:rFonts w:hint="eastAsia" w:ascii="仿宋_GB2312" w:hAnsi="Times New Roman" w:eastAsia="仿宋_GB2312" w:cs="仿宋_GB2312"/>
          <w:color w:val="auto"/>
          <w:sz w:val="32"/>
          <w:szCs w:val="32"/>
          <w:highlight w:val="none"/>
          <w:lang w:val="en-US" w:eastAsia="zh-CN"/>
        </w:rPr>
        <w:t>春节</w:t>
      </w:r>
      <w:r>
        <w:rPr>
          <w:rFonts w:hint="eastAsia" w:ascii="仿宋_GB2312" w:hAnsi="Times New Roman" w:eastAsia="仿宋_GB2312" w:cs="仿宋_GB2312"/>
          <w:color w:val="auto"/>
          <w:sz w:val="32"/>
          <w:szCs w:val="32"/>
          <w:highlight w:val="none"/>
        </w:rPr>
        <w:t>等消费节点，贯穿全年春夏秋冬，创新开展特色产品展销、民俗大集、灯会庙会、艺术节展、国货潮品、冰雪嘉年华等消费体验活动，做到季季有主题、月月有活动、周周有场景。高水平举办营业性演出活动，创新联动模式，打造时尚化、差异化、大众化、市场化的活动盛会。落实国家及省</w:t>
      </w:r>
      <w:r>
        <w:rPr>
          <w:rFonts w:hint="eastAsia" w:ascii="仿宋_GB2312" w:hAnsi="Times New Roman" w:eastAsia="仿宋_GB2312" w:cs="仿宋_GB2312"/>
          <w:color w:val="auto"/>
          <w:sz w:val="32"/>
          <w:szCs w:val="32"/>
          <w:highlight w:val="none"/>
          <w:lang w:val="en-US" w:eastAsia="zh-CN"/>
        </w:rPr>
        <w:t>市</w:t>
      </w:r>
      <w:r>
        <w:rPr>
          <w:rFonts w:hint="eastAsia" w:ascii="仿宋_GB2312" w:hAnsi="Times New Roman" w:eastAsia="仿宋_GB2312" w:cs="仿宋_GB2312"/>
          <w:color w:val="auto"/>
          <w:sz w:val="32"/>
          <w:szCs w:val="32"/>
          <w:highlight w:val="none"/>
        </w:rPr>
        <w:t>消费品以旧换新政策，继续实施汽车、家电、智能家居、居家适老化改造等换新政策，举行家电百万惠民补贴、老字号中华行、家电下乡赶大集等活动。每年开展</w:t>
      </w:r>
      <w:r>
        <w:rPr>
          <w:rFonts w:hint="eastAsia" w:ascii="仿宋_GB2312" w:hAnsi="Times New Roman" w:eastAsia="仿宋_GB2312" w:cs="仿宋_GB2312"/>
          <w:color w:val="auto"/>
          <w:sz w:val="32"/>
          <w:szCs w:val="32"/>
          <w:highlight w:val="none"/>
          <w:lang w:val="en-US" w:eastAsia="zh-CN"/>
        </w:rPr>
        <w:t>6</w:t>
      </w:r>
      <w:r>
        <w:rPr>
          <w:rFonts w:hint="eastAsia" w:ascii="仿宋_GB2312" w:hAnsi="Times New Roman" w:eastAsia="仿宋_GB2312" w:cs="仿宋_GB2312"/>
          <w:color w:val="auto"/>
          <w:sz w:val="32"/>
          <w:szCs w:val="32"/>
          <w:highlight w:val="none"/>
        </w:rPr>
        <w:t>场以上特色化提振消费活动。</w:t>
      </w:r>
    </w:p>
    <w:p w14:paraId="0AB8B14B">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Times New Roman" w:eastAsia="仿宋_GB2312" w:cs="仿宋_GB2312"/>
          <w:b/>
          <w:bCs/>
          <w:color w:val="auto"/>
          <w:sz w:val="32"/>
          <w:szCs w:val="32"/>
          <w:highlight w:val="none"/>
        </w:rPr>
      </w:pPr>
      <w:r>
        <w:rPr>
          <w:rFonts w:hint="eastAsia" w:ascii="仿宋_GB2312" w:hAnsi="Times New Roman" w:eastAsia="仿宋_GB2312" w:cs="仿宋_GB2312"/>
          <w:b/>
          <w:bCs/>
          <w:color w:val="auto"/>
          <w:sz w:val="32"/>
          <w:szCs w:val="32"/>
          <w:highlight w:val="none"/>
        </w:rPr>
        <w:t>大力提振服务消费。</w:t>
      </w:r>
      <w:r>
        <w:rPr>
          <w:rFonts w:hint="eastAsia" w:ascii="仿宋_GB2312" w:hAnsi="Times New Roman" w:eastAsia="仿宋_GB2312" w:cs="仿宋_GB2312"/>
          <w:bCs/>
          <w:color w:val="auto"/>
          <w:sz w:val="32"/>
          <w:szCs w:val="32"/>
          <w:highlight w:val="none"/>
        </w:rPr>
        <w:t>促进文旅消费扩容提质，依托国家级夜间文旅消费集聚区，</w:t>
      </w:r>
      <w:r>
        <w:rPr>
          <w:rFonts w:hint="eastAsia" w:ascii="仿宋_GB2312" w:hAnsi="Times New Roman" w:eastAsia="仿宋_GB2312"/>
          <w:color w:val="auto"/>
          <w:sz w:val="32"/>
          <w:szCs w:val="32"/>
          <w:highlight w:val="none"/>
        </w:rPr>
        <w:t>高标准打造“夜游演艺”精品节目，丰富古城夜游、非遗展演、文创市集、特色餐饮等夜间文旅业态，布局夜间文创市集、手造体验、特色美食、休闲茶饮等多元消费场景，完善夜间消费配套服务，打造沉浸式夜间文旅消费集聚区。</w:t>
      </w:r>
      <w:r>
        <w:rPr>
          <w:rFonts w:hint="eastAsia" w:ascii="仿宋_GB2312" w:hAnsi="Times New Roman" w:eastAsia="仿宋_GB2312" w:cs="仿宋_GB2312"/>
          <w:bCs/>
          <w:color w:val="auto"/>
          <w:sz w:val="32"/>
          <w:szCs w:val="32"/>
          <w:highlight w:val="none"/>
        </w:rPr>
        <w:t>推动“文旅+康养”“文旅+体育”</w:t>
      </w:r>
      <w:r>
        <w:rPr>
          <w:rFonts w:hint="eastAsia" w:ascii="仿宋_GB2312" w:hAnsi="Times New Roman" w:eastAsia="仿宋_GB2312" w:cs="仿宋_GB2312"/>
          <w:bCs/>
          <w:color w:val="auto"/>
          <w:sz w:val="32"/>
          <w:szCs w:val="32"/>
          <w:highlight w:val="none"/>
          <w:lang w:eastAsia="zh-CN"/>
        </w:rPr>
        <w:t>“</w:t>
      </w:r>
      <w:r>
        <w:rPr>
          <w:rFonts w:hint="eastAsia" w:ascii="仿宋_GB2312" w:hAnsi="Times New Roman" w:eastAsia="仿宋_GB2312" w:cs="仿宋_GB2312"/>
          <w:bCs/>
          <w:color w:val="auto"/>
          <w:sz w:val="32"/>
          <w:szCs w:val="32"/>
          <w:highlight w:val="none"/>
          <w:lang w:val="en-US" w:eastAsia="zh-CN"/>
        </w:rPr>
        <w:t>文旅+工业</w:t>
      </w:r>
      <w:r>
        <w:rPr>
          <w:rFonts w:hint="eastAsia" w:ascii="仿宋_GB2312" w:hAnsi="Times New Roman" w:eastAsia="仿宋_GB2312" w:cs="仿宋_GB2312"/>
          <w:bCs/>
          <w:color w:val="auto"/>
          <w:sz w:val="32"/>
          <w:szCs w:val="32"/>
          <w:highlight w:val="none"/>
          <w:lang w:eastAsia="zh-CN"/>
        </w:rPr>
        <w:t>”</w:t>
      </w:r>
      <w:r>
        <w:rPr>
          <w:rFonts w:hint="eastAsia" w:ascii="仿宋_GB2312" w:hAnsi="Times New Roman" w:eastAsia="仿宋_GB2312" w:cs="仿宋_GB2312"/>
          <w:bCs/>
          <w:color w:val="auto"/>
          <w:sz w:val="32"/>
          <w:szCs w:val="32"/>
          <w:highlight w:val="none"/>
        </w:rPr>
        <w:t>“文旅+教育”融合，开发研学旅行、康养度假、体育赛事等新产品。</w:t>
      </w:r>
      <w:r>
        <w:rPr>
          <w:rFonts w:hint="eastAsia" w:ascii="仿宋_GB2312" w:hAnsi="Times New Roman" w:eastAsia="仿宋_GB2312" w:cs="仿宋_GB2312"/>
          <w:color w:val="auto"/>
          <w:sz w:val="32"/>
          <w:szCs w:val="32"/>
          <w:highlight w:val="none"/>
        </w:rPr>
        <w:t>提升餐饮服务品质，培优育强黄花牛肉面、辣子鸡等传统美食品牌，延长“和盛”茶食、张家狗肉、张</w:t>
      </w:r>
      <w:r>
        <w:rPr>
          <w:rFonts w:hint="eastAsia" w:ascii="仿宋_GB2312" w:hAnsi="Times New Roman" w:eastAsia="仿宋_GB2312" w:cs="仿宋_GB2312"/>
          <w:color w:val="auto"/>
          <w:sz w:val="32"/>
          <w:szCs w:val="32"/>
          <w:highlight w:val="none"/>
          <w:lang w:val="en-US" w:eastAsia="zh-CN"/>
        </w:rPr>
        <w:t>氏</w:t>
      </w:r>
      <w:r>
        <w:rPr>
          <w:rFonts w:hint="eastAsia" w:ascii="仿宋_GB2312" w:hAnsi="Times New Roman" w:eastAsia="仿宋_GB2312" w:cs="仿宋_GB2312"/>
          <w:color w:val="auto"/>
          <w:sz w:val="32"/>
          <w:szCs w:val="32"/>
          <w:highlight w:val="none"/>
        </w:rPr>
        <w:t>脆皮鸡等老字号产品链条，</w:t>
      </w:r>
      <w:r>
        <w:rPr>
          <w:rFonts w:hint="eastAsia" w:ascii="仿宋_GB2312" w:hAnsi="仿宋_GB2312" w:eastAsia="仿宋_GB2312" w:cs="仿宋_GB2312"/>
          <w:color w:val="auto"/>
          <w:sz w:val="32"/>
          <w:szCs w:val="32"/>
          <w:highlight w:val="none"/>
        </w:rPr>
        <w:t>持续做好“鲁风运河”美食节，</w:t>
      </w:r>
      <w:r>
        <w:rPr>
          <w:rFonts w:hint="eastAsia" w:ascii="仿宋_GB2312" w:hAnsi="Times New Roman" w:eastAsia="仿宋_GB2312" w:cs="仿宋_GB2312"/>
          <w:color w:val="auto"/>
          <w:sz w:val="32"/>
          <w:szCs w:val="32"/>
          <w:highlight w:val="none"/>
        </w:rPr>
        <w:t>每年举办地标美食促消费活动，推介餐饮“名店、名品、名厨”，培育具有台儿庄特色的鲁菜餐饮品牌。培育家政服务消费，支持员工制家政企业发展，畅通家政从业人员职业发展通道，推动家政进社区，增加家政服务供给。拓展体育消费，</w:t>
      </w:r>
      <w:r>
        <w:rPr>
          <w:rFonts w:hint="eastAsia" w:ascii="仿宋_GB2312" w:hAnsi="Times New Roman" w:eastAsia="仿宋_GB2312" w:cs="仿宋_GB2312"/>
          <w:bCs/>
          <w:color w:val="auto"/>
          <w:sz w:val="32"/>
          <w:szCs w:val="32"/>
          <w:highlight w:val="none"/>
        </w:rPr>
        <w:t>持续办好大运河龙舟赛、大运河马拉松等精品赛事，叫响“跟着赛事来台游”品牌</w:t>
      </w:r>
      <w:r>
        <w:rPr>
          <w:rFonts w:hint="eastAsia" w:ascii="仿宋_GB2312" w:hAnsi="Times New Roman" w:eastAsia="仿宋_GB2312" w:cs="仿宋_GB2312"/>
          <w:color w:val="auto"/>
          <w:sz w:val="32"/>
          <w:szCs w:val="32"/>
          <w:highlight w:val="none"/>
        </w:rPr>
        <w:t>。扩大健康、养老、助残、托幼等多元化服务供给，积极发展健康管理、养生保健等服务业态，在更多细分领域开发优质服务产品。</w:t>
      </w:r>
    </w:p>
    <w:p w14:paraId="6F174D40">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Times New Roman" w:eastAsia="仿宋_GB2312" w:cs="仿宋_GB2312"/>
          <w:color w:val="auto"/>
          <w:sz w:val="32"/>
          <w:szCs w:val="32"/>
          <w:highlight w:val="none"/>
        </w:rPr>
      </w:pPr>
      <w:r>
        <w:rPr>
          <w:rFonts w:hint="eastAsia" w:ascii="仿宋_GB2312" w:hAnsi="Times New Roman" w:eastAsia="仿宋_GB2312" w:cs="仿宋_GB2312"/>
          <w:b/>
          <w:bCs/>
          <w:color w:val="auto"/>
          <w:sz w:val="32"/>
          <w:szCs w:val="32"/>
          <w:highlight w:val="none"/>
        </w:rPr>
        <w:t>拓展提升新型消费。</w:t>
      </w:r>
      <w:r>
        <w:rPr>
          <w:rFonts w:hint="eastAsia" w:ascii="仿宋_GB2312" w:hAnsi="Times New Roman" w:eastAsia="仿宋_GB2312" w:cs="仿宋_GB2312"/>
          <w:bCs/>
          <w:color w:val="auto"/>
          <w:sz w:val="32"/>
          <w:szCs w:val="32"/>
          <w:highlight w:val="none"/>
        </w:rPr>
        <w:t>推进电子商务与快递物流协同发展，壮大首店经济、网红经济、闲置经济、动漫经济、</w:t>
      </w:r>
      <w:r>
        <w:rPr>
          <w:rFonts w:hint="eastAsia" w:ascii="仿宋_GB2312" w:hAnsi="Times New Roman" w:eastAsia="仿宋_GB2312" w:cs="仿宋_GB2312"/>
          <w:bCs/>
          <w:color w:val="auto"/>
          <w:sz w:val="32"/>
          <w:szCs w:val="32"/>
          <w:highlight w:val="none"/>
          <w:lang w:eastAsia="zh-CN"/>
        </w:rPr>
        <w:t>“</w:t>
      </w:r>
      <w:r>
        <w:rPr>
          <w:rFonts w:hint="eastAsia" w:ascii="仿宋_GB2312" w:hAnsi="Times New Roman" w:eastAsia="仿宋_GB2312" w:cs="仿宋_GB2312"/>
          <w:bCs/>
          <w:color w:val="auto"/>
          <w:sz w:val="32"/>
          <w:szCs w:val="32"/>
          <w:highlight w:val="none"/>
        </w:rPr>
        <w:t>人工智能+经济</w:t>
      </w:r>
      <w:r>
        <w:rPr>
          <w:rFonts w:hint="eastAsia" w:ascii="仿宋_GB2312" w:hAnsi="Times New Roman" w:eastAsia="仿宋_GB2312" w:cs="仿宋_GB2312"/>
          <w:bCs/>
          <w:color w:val="auto"/>
          <w:sz w:val="32"/>
          <w:szCs w:val="32"/>
          <w:highlight w:val="none"/>
          <w:lang w:eastAsia="zh-CN"/>
        </w:rPr>
        <w:t>”</w:t>
      </w:r>
      <w:r>
        <w:rPr>
          <w:rFonts w:hint="eastAsia" w:ascii="仿宋_GB2312" w:hAnsi="Times New Roman" w:eastAsia="仿宋_GB2312" w:cs="仿宋_GB2312"/>
          <w:bCs/>
          <w:color w:val="auto"/>
          <w:sz w:val="32"/>
          <w:szCs w:val="32"/>
          <w:highlight w:val="none"/>
        </w:rPr>
        <w:t>等</w:t>
      </w:r>
      <w:r>
        <w:rPr>
          <w:rFonts w:hint="eastAsia" w:ascii="仿宋_GB2312" w:hAnsi="Times New Roman" w:eastAsia="仿宋_GB2312" w:cs="仿宋_GB2312"/>
          <w:bCs/>
          <w:color w:val="auto"/>
          <w:sz w:val="32"/>
          <w:szCs w:val="32"/>
          <w:highlight w:val="none"/>
          <w:lang w:val="en-US" w:eastAsia="zh-CN"/>
        </w:rPr>
        <w:t>新型经济</w:t>
      </w:r>
      <w:r>
        <w:rPr>
          <w:rFonts w:hint="eastAsia" w:ascii="仿宋_GB2312" w:hAnsi="Times New Roman" w:eastAsia="仿宋_GB2312" w:cs="仿宋_GB2312"/>
          <w:bCs/>
          <w:color w:val="auto"/>
          <w:sz w:val="32"/>
          <w:szCs w:val="32"/>
          <w:highlight w:val="none"/>
        </w:rPr>
        <w:t>，创新“直播电商+跨境电商”等多业态跨界融合发展模式，打造新型消费集聚区。激发首店经济与品牌经济活力，建立首店引进服务机制和激励政策，力争</w:t>
      </w:r>
      <w:r>
        <w:rPr>
          <w:rFonts w:hint="eastAsia" w:ascii="仿宋_GB2312" w:hAnsi="Times New Roman" w:eastAsia="仿宋_GB2312" w:cs="仿宋_GB2312"/>
          <w:bCs/>
          <w:color w:val="auto"/>
          <w:sz w:val="32"/>
          <w:szCs w:val="32"/>
          <w:highlight w:val="none"/>
          <w:lang w:eastAsia="zh-CN"/>
        </w:rPr>
        <w:t>“十五五”期间</w:t>
      </w:r>
      <w:r>
        <w:rPr>
          <w:rFonts w:hint="eastAsia" w:ascii="仿宋_GB2312" w:hAnsi="Times New Roman" w:eastAsia="仿宋_GB2312" w:cs="仿宋_GB2312"/>
          <w:bCs/>
          <w:color w:val="auto"/>
          <w:sz w:val="32"/>
          <w:szCs w:val="32"/>
          <w:highlight w:val="none"/>
        </w:rPr>
        <w:t>引进国际国内知名品牌首店、旗舰店、概念店10家以上。实施“老字号振兴与创新计划”，支持本土老字号、知名品牌创新发展，开发</w:t>
      </w:r>
      <w:r>
        <w:rPr>
          <w:rFonts w:hint="eastAsia" w:ascii="仿宋_GB2312" w:hAnsi="Times New Roman" w:eastAsia="仿宋_GB2312" w:cs="仿宋_GB2312"/>
          <w:bCs/>
          <w:color w:val="auto"/>
          <w:sz w:val="32"/>
          <w:szCs w:val="32"/>
          <w:highlight w:val="none"/>
          <w:lang w:eastAsia="zh-CN"/>
        </w:rPr>
        <w:t>新产</w:t>
      </w:r>
      <w:r>
        <w:rPr>
          <w:rFonts w:hint="eastAsia" w:ascii="仿宋_GB2312" w:hAnsi="Times New Roman" w:eastAsia="仿宋_GB2312" w:cs="仿宋_GB2312"/>
          <w:bCs/>
          <w:color w:val="auto"/>
          <w:sz w:val="32"/>
          <w:szCs w:val="32"/>
          <w:highlight w:val="none"/>
        </w:rPr>
        <w:t>品，拓展渠道。</w:t>
      </w:r>
      <w:r>
        <w:rPr>
          <w:rFonts w:hint="eastAsia" w:ascii="仿宋_GB2312" w:hAnsi="Times New Roman" w:eastAsia="仿宋_GB2312" w:cs="仿宋_GB2312"/>
          <w:color w:val="auto"/>
          <w:sz w:val="32"/>
          <w:szCs w:val="32"/>
          <w:highlight w:val="none"/>
        </w:rPr>
        <w:t>加快生活服务数字化赋能，构建智慧商圈、智慧街区、智慧门店等消费新场景，发展“互联网+”医疗服务、数字教育等新模式，加快无人零售店、自提柜、云柜等新业态布局，支持电子竞技、社交电商、直播电商等发展。推广应用先进绿色低碳技术，完善能效水效标识管理，提高家装、出行、旅游、快递等领域绿色化水平。</w:t>
      </w:r>
    </w:p>
    <w:p w14:paraId="261B8E24">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Times New Roman" w:eastAsia="仿宋_GB2312" w:cs="仿宋_GB2312"/>
          <w:bCs/>
          <w:color w:val="auto"/>
          <w:sz w:val="32"/>
          <w:szCs w:val="32"/>
          <w:highlight w:val="none"/>
        </w:rPr>
      </w:pPr>
      <w:r>
        <w:rPr>
          <w:rFonts w:hint="eastAsia" w:ascii="仿宋_GB2312" w:hAnsi="Times New Roman" w:eastAsia="仿宋_GB2312" w:cs="仿宋_GB2312"/>
          <w:b/>
          <w:bCs/>
          <w:color w:val="auto"/>
          <w:sz w:val="32"/>
          <w:szCs w:val="32"/>
          <w:highlight w:val="none"/>
        </w:rPr>
        <w:t>打造多元化消费载体。</w:t>
      </w:r>
      <w:r>
        <w:rPr>
          <w:rFonts w:hint="eastAsia" w:ascii="仿宋_GB2312" w:hAnsi="Times New Roman" w:eastAsia="仿宋_GB2312" w:cs="仿宋_GB2312"/>
          <w:bCs/>
          <w:color w:val="auto"/>
          <w:sz w:val="32"/>
          <w:szCs w:val="32"/>
          <w:highlight w:val="none"/>
        </w:rPr>
        <w:t>聚焦商圈、特色街、综合体、商超、餐饮、电商平台等重点，用好台儿庄古城、渔灯巷等消费场景，积极引</w:t>
      </w:r>
      <w:r>
        <w:rPr>
          <w:rFonts w:hint="eastAsia" w:ascii="仿宋_GB2312" w:hAnsi="Times New Roman" w:eastAsia="仿宋_GB2312" w:cs="仿宋_GB2312"/>
          <w:bCs/>
          <w:color w:val="auto"/>
          <w:sz w:val="32"/>
          <w:szCs w:val="32"/>
          <w:highlight w:val="none"/>
          <w:lang w:eastAsia="zh-CN"/>
        </w:rPr>
        <w:t>进具</w:t>
      </w:r>
      <w:r>
        <w:rPr>
          <w:rFonts w:hint="eastAsia" w:ascii="仿宋_GB2312" w:hAnsi="Times New Roman" w:eastAsia="仿宋_GB2312" w:cs="仿宋_GB2312"/>
          <w:bCs/>
          <w:color w:val="auto"/>
          <w:sz w:val="32"/>
          <w:szCs w:val="32"/>
          <w:highlight w:val="none"/>
        </w:rPr>
        <w:t>有引领性的旗舰店、概念店、定制店，打造一批具有区域吸引力的综合性消费新地标。高起点改造提升大衙门街，推进乐途步行街、林运路街区等特色发展，丰富文化业态布局，推动商旅融合、植入传统演艺，推动文化街区复活。推进台儿庄古城焕新商业业态，加强西门片区整体开发，丰富消费和场景演艺产品，壮大以古城为核心的文旅消费圈。推动渔灯巷街区与古城深度融合，围绕休闲、旅游、社交、品享、住宿等维度，构建与台儿庄城市文明和台儿庄全域旅游相契合的生活体验矩阵，打造鲁西南大型文商旅特色综合性商业街区。</w:t>
      </w:r>
    </w:p>
    <w:p w14:paraId="68E7CC51">
      <w:pPr>
        <w:pStyle w:val="6"/>
        <w:pageBreakBefore w:val="0"/>
        <w:widowControl w:val="0"/>
        <w:kinsoku/>
        <w:wordWrap/>
        <w:overflowPunct/>
        <w:topLinePunct w:val="0"/>
        <w:autoSpaceDE/>
        <w:autoSpaceDN/>
        <w:bidi w:val="0"/>
        <w:adjustRightInd w:val="0"/>
        <w:snapToGrid w:val="0"/>
        <w:textAlignment w:val="auto"/>
        <w:rPr>
          <w:rFonts w:hint="eastAsia"/>
          <w:color w:val="auto"/>
          <w:highlight w:val="none"/>
        </w:rPr>
      </w:pPr>
      <w:bookmarkStart w:id="21" w:name="_Toc15176"/>
      <w:r>
        <w:rPr>
          <w:rFonts w:hint="eastAsia"/>
          <w:color w:val="auto"/>
          <w:highlight w:val="none"/>
        </w:rPr>
        <w:t>第二节 加力扩大有效投资</w:t>
      </w:r>
      <w:bookmarkEnd w:id="21"/>
    </w:p>
    <w:p w14:paraId="22F364AF">
      <w:pPr>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加大政府投资引导。</w:t>
      </w:r>
      <w:r>
        <w:rPr>
          <w:rFonts w:hint="eastAsia" w:ascii="仿宋_GB2312" w:hAnsi="仿宋_GB2312" w:eastAsia="仿宋_GB2312" w:cs="仿宋_GB2312"/>
          <w:color w:val="auto"/>
          <w:sz w:val="32"/>
          <w:szCs w:val="32"/>
          <w:highlight w:val="none"/>
        </w:rPr>
        <w:t>聚焦国家战略所需、我区所能、企业和群众所愿，坚持“投资于人”和“投资于物”结合，坚持基础设施与新兴产业并重，坚持战略必争与民生必保并重，坚持发展支撑与安全能力并重，科学确定投资方向，持续优化投资结构，稳步提高投资效益。聚焦“锂机材纺纸”</w:t>
      </w:r>
      <w:r>
        <w:rPr>
          <w:rFonts w:hint="eastAsia" w:ascii="仿宋_GB2312" w:hAnsi="仿宋_GB2312" w:eastAsia="仿宋_GB2312" w:cs="仿宋_GB2312"/>
          <w:color w:val="auto"/>
          <w:sz w:val="32"/>
          <w:szCs w:val="32"/>
          <w:highlight w:val="none"/>
          <w:lang w:val="en-US" w:eastAsia="zh-CN"/>
        </w:rPr>
        <w:t>五大主导产业</w:t>
      </w:r>
      <w:r>
        <w:rPr>
          <w:rFonts w:hint="eastAsia" w:ascii="仿宋_GB2312" w:hAnsi="仿宋_GB2312" w:eastAsia="仿宋_GB2312" w:cs="仿宋_GB2312"/>
          <w:color w:val="auto"/>
          <w:sz w:val="32"/>
          <w:szCs w:val="32"/>
          <w:highlight w:val="none"/>
        </w:rPr>
        <w:t>集群及</w:t>
      </w:r>
      <w:r>
        <w:rPr>
          <w:rFonts w:ascii="仿宋_GB2312" w:hAnsi="仿宋_GB2312" w:eastAsia="仿宋_GB2312" w:cs="仿宋_GB2312"/>
          <w:color w:val="auto"/>
          <w:sz w:val="32"/>
          <w:szCs w:val="32"/>
          <w:highlight w:val="none"/>
        </w:rPr>
        <w:t>新兴产业</w:t>
      </w:r>
      <w:r>
        <w:rPr>
          <w:rFonts w:hint="eastAsia" w:ascii="仿宋_GB2312" w:hAnsi="仿宋_GB2312" w:eastAsia="仿宋_GB2312" w:cs="仿宋_GB2312"/>
          <w:color w:val="auto"/>
          <w:sz w:val="32"/>
          <w:szCs w:val="32"/>
          <w:highlight w:val="none"/>
        </w:rPr>
        <w:t>强链补链延链稳链</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引进</w:t>
      </w:r>
      <w:r>
        <w:rPr>
          <w:rFonts w:ascii="仿宋_GB2312" w:hAnsi="仿宋_GB2312" w:eastAsia="仿宋_GB2312" w:cs="仿宋_GB2312"/>
          <w:color w:val="auto"/>
          <w:sz w:val="32"/>
          <w:szCs w:val="32"/>
          <w:highlight w:val="none"/>
        </w:rPr>
        <w:t>建设一批</w:t>
      </w:r>
      <w:r>
        <w:rPr>
          <w:rFonts w:hint="eastAsia" w:ascii="仿宋_GB2312" w:hAnsi="仿宋_GB2312" w:eastAsia="仿宋_GB2312" w:cs="仿宋_GB2312"/>
          <w:color w:val="auto"/>
          <w:sz w:val="32"/>
          <w:szCs w:val="32"/>
          <w:highlight w:val="none"/>
        </w:rPr>
        <w:t>产业</w:t>
      </w:r>
      <w:r>
        <w:rPr>
          <w:rFonts w:hint="eastAsia" w:ascii="仿宋_GB2312" w:hAnsi="仿宋_GB2312" w:eastAsia="仿宋_GB2312" w:cs="仿宋_GB2312"/>
          <w:color w:val="auto"/>
          <w:sz w:val="32"/>
          <w:szCs w:val="32"/>
          <w:highlight w:val="none"/>
          <w:lang w:eastAsia="zh-CN"/>
        </w:rPr>
        <w:t>黏性大</w:t>
      </w:r>
      <w:r>
        <w:rPr>
          <w:rFonts w:hint="eastAsia" w:ascii="仿宋_GB2312" w:hAnsi="仿宋_GB2312" w:eastAsia="仿宋_GB2312" w:cs="仿宋_GB2312"/>
          <w:color w:val="auto"/>
          <w:sz w:val="32"/>
          <w:szCs w:val="32"/>
          <w:highlight w:val="none"/>
        </w:rPr>
        <w:t>、市场前景好、技术先进、绿色低碳的优质项目，进一步提升投资能级。加强传统产业技术产品创新迭代，推广数字化转型“链式改造”模式，扩围推进工业领域设备更新和技术改造。合理把握政府投资规模，加力储备中央预算内、超长期特别国债、地方政府专项债券等资金项目，保障产业发展、基础设施建设、民生事业改善。</w:t>
      </w:r>
    </w:p>
    <w:p w14:paraId="66B843B6">
      <w:pPr>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激发民间投资活力。</w:t>
      </w:r>
      <w:r>
        <w:rPr>
          <w:rFonts w:hint="eastAsia" w:ascii="仿宋_GB2312" w:hAnsi="仿宋_GB2312" w:eastAsia="仿宋_GB2312" w:cs="仿宋_GB2312"/>
          <w:color w:val="auto"/>
          <w:sz w:val="32"/>
          <w:szCs w:val="32"/>
          <w:highlight w:val="none"/>
        </w:rPr>
        <w:t>严格落实“非禁即入”，持续拓宽民间投资准入、打破隐性壁垒，推行市场准入负面清单，对市场准入负面清单之外的行业、领域、业务等，各类市场主体皆可依法平等进入，不得额外对民间投资主体设置准入条件。健全民间资本参与重大项目建设机制，建立重点产业常态化项目推介机制，鼓励更多民间资本参与改善民生、科技创新、公共服务等领域建设。通过投资入股、联合投资、并购重组等方式，推进国有企业、民营企业跨层级、跨区域合作，支持民间投资积极参与盘活国有存量资产。</w:t>
      </w:r>
    </w:p>
    <w:p w14:paraId="4F49545D">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强化项目</w:t>
      </w:r>
      <w:r>
        <w:rPr>
          <w:rFonts w:ascii="仿宋_GB2312" w:hAnsi="仿宋_GB2312" w:eastAsia="仿宋_GB2312" w:cs="仿宋_GB2312"/>
          <w:b/>
          <w:bCs/>
          <w:color w:val="auto"/>
          <w:sz w:val="32"/>
          <w:szCs w:val="32"/>
          <w:highlight w:val="none"/>
        </w:rPr>
        <w:t>引领带动</w:t>
      </w: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color w:val="auto"/>
          <w:sz w:val="32"/>
          <w:szCs w:val="32"/>
          <w:highlight w:val="none"/>
        </w:rPr>
        <w:t>聚焦“强工兴产、项目突破”，强力推进项目谋划储备、加快建设、投产见效，以大项目、好项目支撑</w:t>
      </w:r>
      <w:r>
        <w:rPr>
          <w:rFonts w:hint="eastAsia" w:ascii="仿宋_GB2312" w:hAnsi="仿宋_GB2312" w:eastAsia="仿宋_GB2312" w:cs="仿宋_GB2312"/>
          <w:color w:val="auto"/>
          <w:sz w:val="32"/>
          <w:szCs w:val="32"/>
          <w:highlight w:val="none"/>
          <w:lang w:val="en-US" w:eastAsia="zh-CN"/>
        </w:rPr>
        <w:t>区</w:t>
      </w:r>
      <w:r>
        <w:rPr>
          <w:rFonts w:hint="eastAsia" w:ascii="仿宋_GB2312" w:hAnsi="仿宋_GB2312" w:eastAsia="仿宋_GB2312" w:cs="仿宋_GB2312"/>
          <w:color w:val="auto"/>
          <w:sz w:val="32"/>
          <w:szCs w:val="32"/>
          <w:highlight w:val="none"/>
        </w:rPr>
        <w:t>域经济“跨越</w:t>
      </w:r>
      <w:r>
        <w:rPr>
          <w:rFonts w:hint="eastAsia" w:ascii="仿宋_GB2312" w:hAnsi="仿宋_GB2312" w:eastAsia="仿宋_GB2312" w:cs="仿宋_GB2312"/>
          <w:color w:val="auto"/>
          <w:sz w:val="32"/>
          <w:szCs w:val="32"/>
          <w:highlight w:val="none"/>
          <w:lang w:val="en-US" w:eastAsia="zh-CN"/>
        </w:rPr>
        <w:t>发展</w:t>
      </w:r>
      <w:r>
        <w:rPr>
          <w:rFonts w:hint="eastAsia" w:ascii="仿宋_GB2312" w:hAnsi="仿宋_GB2312" w:eastAsia="仿宋_GB2312" w:cs="仿宋_GB2312"/>
          <w:color w:val="auto"/>
          <w:sz w:val="32"/>
          <w:szCs w:val="32"/>
          <w:highlight w:val="none"/>
        </w:rPr>
        <w:t>”。</w:t>
      </w:r>
      <w:r>
        <w:rPr>
          <w:rFonts w:hint="eastAsia" w:ascii="仿宋_GB2312" w:hAnsi="宋体" w:eastAsia="仿宋_GB2312"/>
          <w:bCs/>
          <w:color w:val="auto"/>
          <w:sz w:val="32"/>
          <w:szCs w:val="32"/>
          <w:highlight w:val="none"/>
        </w:rPr>
        <w:t>统筹抓实产业链招商、以商招商、节会招商、园区招商</w:t>
      </w:r>
      <w:r>
        <w:rPr>
          <w:rFonts w:hint="eastAsia" w:ascii="仿宋_GB2312" w:hAnsi="宋体" w:eastAsia="仿宋_GB2312"/>
          <w:bCs/>
          <w:color w:val="auto"/>
          <w:sz w:val="32"/>
          <w:szCs w:val="32"/>
          <w:highlight w:val="none"/>
          <w:lang w:eastAsia="zh-CN"/>
        </w:rPr>
        <w:t>、</w:t>
      </w:r>
      <w:r>
        <w:rPr>
          <w:rFonts w:hint="eastAsia" w:ascii="仿宋_GB2312" w:hAnsi="宋体" w:eastAsia="仿宋_GB2312"/>
          <w:bCs/>
          <w:color w:val="auto"/>
          <w:sz w:val="32"/>
          <w:szCs w:val="32"/>
          <w:highlight w:val="none"/>
          <w:lang w:val="en-US" w:eastAsia="zh-CN"/>
        </w:rPr>
        <w:t>场景招商</w:t>
      </w:r>
      <w:r>
        <w:rPr>
          <w:rFonts w:hint="eastAsia" w:ascii="仿宋_GB2312" w:hAnsi="宋体" w:eastAsia="仿宋_GB2312"/>
          <w:bCs/>
          <w:color w:val="auto"/>
          <w:sz w:val="32"/>
          <w:szCs w:val="32"/>
          <w:highlight w:val="none"/>
        </w:rPr>
        <w:t>，聚焦京津冀、长三角、粤港澳等重点区域，瞄准国内外500强、行业100强、上市公司、大型国企央企等，全力对接引进助力产业链完善、带动能力强的大企业、好项目。</w:t>
      </w:r>
      <w:r>
        <w:rPr>
          <w:rFonts w:hint="eastAsia" w:ascii="仿宋_GB2312" w:hAnsi="仿宋_GB2312" w:eastAsia="仿宋_GB2312" w:cs="仿宋_GB2312"/>
          <w:color w:val="auto"/>
          <w:sz w:val="32"/>
          <w:szCs w:val="32"/>
          <w:highlight w:val="none"/>
        </w:rPr>
        <w:t>强化项目“谋、建、管、评”全生命周期服务，</w:t>
      </w:r>
      <w:r>
        <w:rPr>
          <w:rFonts w:hint="eastAsia" w:ascii="仿宋_GB2312" w:hAnsi="宋体" w:eastAsia="仿宋_GB2312"/>
          <w:bCs/>
          <w:color w:val="auto"/>
          <w:sz w:val="32"/>
          <w:szCs w:val="32"/>
          <w:highlight w:val="none"/>
        </w:rPr>
        <w:t>构建优质项目梯次跟进、规模稳步扩大的良性投资格局。深化“要素跟着项目走”，强化资金、土地、能耗等要素</w:t>
      </w:r>
      <w:r>
        <w:rPr>
          <w:rFonts w:hint="eastAsia" w:ascii="仿宋_GB2312" w:hAnsi="宋体" w:eastAsia="仿宋_GB2312"/>
          <w:bCs/>
          <w:color w:val="auto"/>
          <w:sz w:val="32"/>
          <w:szCs w:val="32"/>
          <w:highlight w:val="none"/>
          <w:lang w:val="en-US" w:eastAsia="zh-CN"/>
        </w:rPr>
        <w:t>全区</w:t>
      </w:r>
      <w:r>
        <w:rPr>
          <w:rFonts w:hint="eastAsia" w:ascii="仿宋_GB2312" w:hAnsi="宋体" w:eastAsia="仿宋_GB2312"/>
          <w:bCs/>
          <w:color w:val="auto"/>
          <w:sz w:val="32"/>
          <w:szCs w:val="32"/>
          <w:highlight w:val="none"/>
        </w:rPr>
        <w:t>统筹，做好重大项目</w:t>
      </w:r>
      <w:r>
        <w:rPr>
          <w:rFonts w:hint="eastAsia" w:ascii="仿宋_GB2312" w:hAnsi="仿宋_GB2312" w:eastAsia="仿宋_GB2312" w:cs="仿宋_GB2312"/>
          <w:color w:val="auto"/>
          <w:sz w:val="32"/>
          <w:szCs w:val="32"/>
          <w:highlight w:val="none"/>
        </w:rPr>
        <w:t>要素保障。</w:t>
      </w:r>
    </w:p>
    <w:p w14:paraId="4051F746">
      <w:pPr>
        <w:pStyle w:val="6"/>
        <w:pageBreakBefore w:val="0"/>
        <w:widowControl w:val="0"/>
        <w:kinsoku/>
        <w:wordWrap/>
        <w:overflowPunct/>
        <w:topLinePunct w:val="0"/>
        <w:autoSpaceDE/>
        <w:autoSpaceDN/>
        <w:bidi w:val="0"/>
        <w:adjustRightInd w:val="0"/>
        <w:snapToGrid w:val="0"/>
        <w:textAlignment w:val="auto"/>
        <w:rPr>
          <w:rFonts w:hint="eastAsia"/>
          <w:color w:val="auto"/>
          <w:highlight w:val="none"/>
        </w:rPr>
      </w:pPr>
      <w:bookmarkStart w:id="22" w:name="_Toc32554"/>
      <w:r>
        <w:rPr>
          <w:rFonts w:hint="eastAsia"/>
          <w:color w:val="auto"/>
          <w:highlight w:val="none"/>
        </w:rPr>
        <w:t>第三节 构建现代流通体系</w:t>
      </w:r>
      <w:bookmarkEnd w:id="22"/>
    </w:p>
    <w:p w14:paraId="1C0B990E">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推动商圈转型</w:t>
      </w:r>
      <w:r>
        <w:rPr>
          <w:rFonts w:ascii="仿宋_GB2312" w:hAnsi="仿宋_GB2312" w:eastAsia="仿宋_GB2312" w:cs="仿宋_GB2312"/>
          <w:b/>
          <w:color w:val="auto"/>
          <w:sz w:val="32"/>
          <w:szCs w:val="32"/>
          <w:highlight w:val="none"/>
        </w:rPr>
        <w:t>升级</w:t>
      </w:r>
      <w:r>
        <w:rPr>
          <w:rFonts w:hint="eastAsia" w:ascii="仿宋_GB2312" w:hAnsi="仿宋_GB2312" w:eastAsia="仿宋_GB2312" w:cs="仿宋_GB2312"/>
          <w:b/>
          <w:color w:val="auto"/>
          <w:sz w:val="32"/>
          <w:szCs w:val="32"/>
          <w:highlight w:val="none"/>
        </w:rPr>
        <w:t>。</w:t>
      </w:r>
      <w:r>
        <w:rPr>
          <w:rFonts w:hint="eastAsia" w:ascii="仿宋_GB2312" w:hAnsi="仿宋_GB2312" w:eastAsia="仿宋_GB2312" w:cs="仿宋_GB2312"/>
          <w:color w:val="auto"/>
          <w:sz w:val="32"/>
          <w:szCs w:val="32"/>
          <w:highlight w:val="none"/>
        </w:rPr>
        <w:t>结合城区发展规划，坚持多元化、差异化、便捷化思维优化商业网点结构</w:t>
      </w:r>
      <w:r>
        <w:rPr>
          <w:rFonts w:hint="eastAsia" w:ascii="仿宋_GB2312" w:hAnsi="仿宋_GB2312" w:eastAsia="仿宋_GB2312" w:cs="仿宋_GB2312"/>
          <w:color w:val="auto"/>
          <w:sz w:val="32"/>
          <w:szCs w:val="32"/>
          <w:highlight w:val="none"/>
          <w:lang w:eastAsia="zh-CN"/>
        </w:rPr>
        <w:t>，以</w:t>
      </w:r>
      <w:r>
        <w:rPr>
          <w:rFonts w:hint="eastAsia" w:ascii="仿宋_GB2312" w:hAnsi="仿宋_GB2312" w:eastAsia="仿宋_GB2312" w:cs="仿宋_GB2312"/>
          <w:color w:val="auto"/>
          <w:sz w:val="32"/>
          <w:szCs w:val="32"/>
          <w:highlight w:val="none"/>
        </w:rPr>
        <w:t>“一场一策”推动建材家居、汽车交易、新型农贸、精品服饰、旅游商品、服装鞋帽、餐饮娱乐等重点商圈转型</w:t>
      </w:r>
      <w:r>
        <w:rPr>
          <w:rFonts w:ascii="仿宋_GB2312" w:hAnsi="仿宋_GB2312" w:eastAsia="仿宋_GB2312" w:cs="仿宋_GB2312"/>
          <w:color w:val="auto"/>
          <w:sz w:val="32"/>
          <w:szCs w:val="32"/>
          <w:highlight w:val="none"/>
        </w:rPr>
        <w:t>升级，</w:t>
      </w:r>
      <w:r>
        <w:rPr>
          <w:rFonts w:hint="eastAsia" w:ascii="仿宋_GB2312" w:hAnsi="仿宋_GB2312" w:eastAsia="仿宋_GB2312" w:cs="仿宋_GB2312"/>
          <w:color w:val="auto"/>
          <w:sz w:val="32"/>
          <w:szCs w:val="32"/>
          <w:highlight w:val="none"/>
        </w:rPr>
        <w:t>深化与会展、创意设计、商务办公、购物休闲等有机融合，打造专业市场型展销综合体。引导鼓励家乐佳、麦凯龙等大型商超下沉镇村，通过开设直营店的方式，促进县乡村商业网络连锁化，培育一批集聚效应显著、辐射带动能力强的商贸强镇。支持专业批发市场搭建电子商务平台，发展新型批发贸易方式，从传统交易向研发、设计、展会、出口等产业链环节延伸。</w:t>
      </w:r>
    </w:p>
    <w:p w14:paraId="36A36614">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完善县乡村三级物流网络。</w:t>
      </w:r>
      <w:r>
        <w:rPr>
          <w:rFonts w:hint="eastAsia" w:ascii="仿宋_GB2312" w:hAnsi="仿宋_GB2312" w:eastAsia="仿宋_GB2312" w:cs="仿宋_GB2312"/>
          <w:color w:val="auto"/>
          <w:sz w:val="32"/>
          <w:szCs w:val="32"/>
          <w:highlight w:val="none"/>
        </w:rPr>
        <w:t>立足全区交通基础条件、内生物流需求和产业发展配套需要，高标准编制现代物流产业发展规划，加快推进物流园区建设，通过新旧场所结合，促进</w:t>
      </w:r>
      <w:r>
        <w:rPr>
          <w:rFonts w:ascii="仿宋_GB2312" w:hAnsi="仿宋_GB2312" w:eastAsia="仿宋_GB2312" w:cs="仿宋_GB2312"/>
          <w:color w:val="auto"/>
          <w:sz w:val="32"/>
          <w:szCs w:val="32"/>
          <w:highlight w:val="none"/>
        </w:rPr>
        <w:t>物流</w:t>
      </w:r>
      <w:r>
        <w:rPr>
          <w:rFonts w:hint="eastAsia" w:ascii="仿宋_GB2312" w:hAnsi="仿宋_GB2312" w:eastAsia="仿宋_GB2312" w:cs="仿宋_GB2312"/>
          <w:color w:val="auto"/>
          <w:sz w:val="32"/>
          <w:szCs w:val="32"/>
          <w:highlight w:val="none"/>
        </w:rPr>
        <w:t>与现代产业布局衔接、联动发展。</w:t>
      </w:r>
      <w:r>
        <w:rPr>
          <w:rFonts w:hint="eastAsia" w:ascii="仿宋_GB2312" w:hAnsi="仿宋_GB2312" w:eastAsia="仿宋_GB2312" w:cs="仿宋_GB2312"/>
          <w:color w:val="auto"/>
          <w:sz w:val="32"/>
          <w:szCs w:val="32"/>
          <w:highlight w:val="none"/>
          <w:lang w:val="en-US" w:eastAsia="zh-CN"/>
        </w:rPr>
        <w:t>区</w:t>
      </w:r>
      <w:r>
        <w:rPr>
          <w:rFonts w:hint="eastAsia" w:ascii="仿宋_GB2312" w:hAnsi="仿宋_GB2312" w:eastAsia="仿宋_GB2312" w:cs="仿宋_GB2312"/>
          <w:color w:val="auto"/>
          <w:sz w:val="32"/>
          <w:szCs w:val="32"/>
          <w:highlight w:val="none"/>
        </w:rPr>
        <w:t>级层面，整合现有仓储、货运资源，建设综合性</w:t>
      </w:r>
      <w:r>
        <w:rPr>
          <w:rFonts w:hint="eastAsia" w:ascii="仿宋_GB2312" w:hAnsi="仿宋_GB2312" w:eastAsia="仿宋_GB2312" w:cs="仿宋_GB2312"/>
          <w:color w:val="auto"/>
          <w:sz w:val="32"/>
          <w:szCs w:val="32"/>
          <w:highlight w:val="none"/>
          <w:lang w:val="en-US" w:eastAsia="zh-CN"/>
        </w:rPr>
        <w:t>区域</w:t>
      </w:r>
      <w:r>
        <w:rPr>
          <w:rFonts w:hint="eastAsia" w:ascii="仿宋_GB2312" w:hAnsi="仿宋_GB2312" w:eastAsia="仿宋_GB2312" w:cs="仿宋_GB2312"/>
          <w:color w:val="auto"/>
          <w:sz w:val="32"/>
          <w:szCs w:val="32"/>
          <w:highlight w:val="none"/>
        </w:rPr>
        <w:t>物流集散中心，配备智能分拣、冷链仓储、信息管理等设施，打造区域物流中枢。</w:t>
      </w:r>
      <w:r>
        <w:rPr>
          <w:rFonts w:hint="eastAsia" w:ascii="仿宋_GB2312" w:hAnsi="仿宋_GB2312" w:eastAsia="仿宋_GB2312" w:cs="仿宋_GB2312"/>
          <w:color w:val="auto"/>
          <w:sz w:val="32"/>
          <w:szCs w:val="32"/>
          <w:highlight w:val="none"/>
          <w:lang w:val="en-US" w:eastAsia="zh-CN"/>
        </w:rPr>
        <w:t>镇街</w:t>
      </w:r>
      <w:r>
        <w:rPr>
          <w:rFonts w:hint="eastAsia" w:ascii="仿宋_GB2312" w:hAnsi="仿宋_GB2312" w:eastAsia="仿宋_GB2312" w:cs="仿宋_GB2312"/>
          <w:color w:val="auto"/>
          <w:sz w:val="32"/>
          <w:szCs w:val="32"/>
          <w:highlight w:val="none"/>
        </w:rPr>
        <w:t>层面，在邳庄镇、涧头集镇等重点镇改造或新建镇物流服务站，承担区域中转、货物暂存及配送调度功能。村级层面，依托党群服务中心、超市、合作社等场所，设立村级物流服务点，提供包裹代收代发、农资配送等服务，形成“县级中心集散、</w:t>
      </w:r>
      <w:r>
        <w:rPr>
          <w:rFonts w:hint="eastAsia" w:ascii="仿宋_GB2312" w:hAnsi="仿宋_GB2312" w:eastAsia="仿宋_GB2312" w:cs="仿宋_GB2312"/>
          <w:color w:val="auto"/>
          <w:sz w:val="32"/>
          <w:szCs w:val="32"/>
          <w:highlight w:val="none"/>
          <w:lang w:val="en-US" w:eastAsia="zh-CN"/>
        </w:rPr>
        <w:t>镇街</w:t>
      </w:r>
      <w:r>
        <w:rPr>
          <w:rFonts w:hint="eastAsia" w:ascii="仿宋_GB2312" w:hAnsi="仿宋_GB2312" w:eastAsia="仿宋_GB2312" w:cs="仿宋_GB2312"/>
          <w:color w:val="auto"/>
          <w:sz w:val="32"/>
          <w:szCs w:val="32"/>
          <w:highlight w:val="none"/>
        </w:rPr>
        <w:t>站点中转、村级网点覆盖”的物流服务体系。</w:t>
      </w:r>
    </w:p>
    <w:p w14:paraId="122266BA">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大力发展多式联运。</w:t>
      </w:r>
      <w:r>
        <w:rPr>
          <w:rFonts w:hint="eastAsia" w:ascii="仿宋_GB2312" w:hAnsi="仿宋_GB2312" w:eastAsia="仿宋_GB2312" w:cs="仿宋_GB2312"/>
          <w:color w:val="auto"/>
          <w:sz w:val="32"/>
          <w:szCs w:val="32"/>
          <w:highlight w:val="none"/>
        </w:rPr>
        <w:t>依托台儿庄港、铁路站点及公路货运枢纽，培育多式联运企业，加强与周边物流园区、生产企业合作，构建多式联运网络。提高水路运输比重，完善台儿庄港功能布局，加快马兰屯作业区</w:t>
      </w:r>
      <w:r>
        <w:rPr>
          <w:rFonts w:hint="eastAsia" w:ascii="仿宋_GB2312" w:hAnsi="仿宋_GB2312" w:eastAsia="仿宋_GB2312" w:cs="仿宋_GB2312"/>
          <w:color w:val="auto"/>
          <w:sz w:val="32"/>
          <w:szCs w:val="32"/>
          <w:highlight w:val="none"/>
          <w:lang w:val="en-US" w:eastAsia="zh-CN"/>
        </w:rPr>
        <w:t>7–18</w:t>
      </w:r>
      <w:r>
        <w:rPr>
          <w:rFonts w:hint="eastAsia" w:ascii="仿宋_GB2312" w:hAnsi="仿宋_GB2312" w:eastAsia="仿宋_GB2312" w:cs="仿宋_GB2312"/>
          <w:color w:val="auto"/>
          <w:sz w:val="32"/>
          <w:szCs w:val="32"/>
          <w:highlight w:val="none"/>
        </w:rPr>
        <w:t>#泊位建设，优化港口装卸流程，引入自动化装卸设备，提高货物装卸效率，增加港口吞吐能力。针对煤炭、建材、化工原料等大宗货物运输，制定“公转水”补贴政策，对通过水路运输的企业</w:t>
      </w:r>
      <w:r>
        <w:rPr>
          <w:rFonts w:hint="eastAsia" w:ascii="仿宋_GB2312" w:hAnsi="仿宋_GB2312" w:eastAsia="仿宋_GB2312" w:cs="仿宋_GB2312"/>
          <w:color w:val="auto"/>
          <w:sz w:val="32"/>
          <w:szCs w:val="32"/>
          <w:highlight w:val="none"/>
          <w:lang w:eastAsia="zh-CN"/>
        </w:rPr>
        <w:t>给予</w:t>
      </w:r>
      <w:r>
        <w:rPr>
          <w:rFonts w:hint="eastAsia" w:ascii="仿宋_GB2312" w:hAnsi="仿宋_GB2312" w:eastAsia="仿宋_GB2312" w:cs="仿宋_GB2312"/>
          <w:color w:val="auto"/>
          <w:sz w:val="32"/>
          <w:szCs w:val="32"/>
          <w:highlight w:val="none"/>
        </w:rPr>
        <w:t>一定的补贴，引导企业转变运输方式，降低公路运输压力。</w:t>
      </w:r>
    </w:p>
    <w:p w14:paraId="3DF08FB0">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提升</w:t>
      </w:r>
      <w:r>
        <w:rPr>
          <w:rFonts w:ascii="仿宋_GB2312" w:hAnsi="仿宋_GB2312" w:eastAsia="仿宋_GB2312" w:cs="仿宋_GB2312"/>
          <w:b/>
          <w:bCs/>
          <w:color w:val="auto"/>
          <w:sz w:val="32"/>
          <w:szCs w:val="32"/>
          <w:highlight w:val="none"/>
        </w:rPr>
        <w:t>物流</w:t>
      </w:r>
      <w:r>
        <w:rPr>
          <w:rFonts w:hint="eastAsia" w:ascii="仿宋_GB2312" w:hAnsi="仿宋_GB2312" w:eastAsia="仿宋_GB2312" w:cs="仿宋_GB2312"/>
          <w:b/>
          <w:bCs/>
          <w:color w:val="auto"/>
          <w:sz w:val="32"/>
          <w:szCs w:val="32"/>
          <w:highlight w:val="none"/>
        </w:rPr>
        <w:t>智慧化水平。</w:t>
      </w:r>
      <w:r>
        <w:rPr>
          <w:rFonts w:hint="eastAsia" w:ascii="仿宋_GB2312" w:hAnsi="仿宋_GB2312" w:eastAsia="仿宋_GB2312" w:cs="仿宋_GB2312"/>
          <w:color w:val="auto"/>
          <w:sz w:val="32"/>
          <w:szCs w:val="32"/>
          <w:highlight w:val="none"/>
        </w:rPr>
        <w:t>推动物流行业智慧化升级，借助物流机器人、无人驾驶、智能分拣等先进技术，建设多式联运信息服务平台，整合铁路、水路、公路运输信息，实现货物运输全程跟踪、信息共享，提高联运组织效率，降低物流信息沟通成本。</w:t>
      </w:r>
      <w:r>
        <w:rPr>
          <w:rFonts w:ascii="仿宋_GB2312" w:hAnsi="仿宋_GB2312" w:eastAsia="仿宋_GB2312" w:cs="仿宋_GB2312"/>
          <w:color w:val="auto"/>
          <w:sz w:val="32"/>
          <w:szCs w:val="32"/>
          <w:highlight w:val="none"/>
        </w:rPr>
        <w:t>鼓励和支持云仓等共享物流模式</w:t>
      </w:r>
      <w:r>
        <w:rPr>
          <w:rFonts w:hint="eastAsia" w:ascii="仿宋_GB2312" w:hAnsi="仿宋_GB2312" w:eastAsia="仿宋_GB2312" w:cs="仿宋_GB2312"/>
          <w:color w:val="auto"/>
          <w:sz w:val="32"/>
          <w:szCs w:val="32"/>
          <w:highlight w:val="none"/>
        </w:rPr>
        <w:t>，</w:t>
      </w:r>
      <w:r>
        <w:rPr>
          <w:rFonts w:ascii="仿宋_GB2312" w:hAnsi="仿宋_GB2312" w:eastAsia="仿宋_GB2312" w:cs="仿宋_GB2312"/>
          <w:color w:val="auto"/>
          <w:sz w:val="32"/>
          <w:szCs w:val="32"/>
          <w:highlight w:val="none"/>
        </w:rPr>
        <w:t>共同配送、集中配送、分时配送等先进物流组织方式发展，探索发展众包物流、无人机配送等创新模式，鼓励农特产品新零售物流、垂直（生鲜）电商物流、直播带货、平台经济、集装箱、整车、滚装运输等物流发展。</w:t>
      </w:r>
      <w:r>
        <w:rPr>
          <w:rFonts w:hint="eastAsia" w:ascii="仿宋_GB2312" w:hAnsi="仿宋_GB2312" w:eastAsia="仿宋_GB2312" w:cs="仿宋_GB2312"/>
          <w:color w:val="auto"/>
          <w:sz w:val="32"/>
          <w:szCs w:val="32"/>
          <w:highlight w:val="none"/>
        </w:rPr>
        <w:t>推动物流业与制造业、特色农业、数字经济等优势产业交流融合，培育发展冷链物流、跨境电商等新业态。</w:t>
      </w:r>
    </w:p>
    <w:p w14:paraId="19BC0F35">
      <w:pPr>
        <w:pStyle w:val="6"/>
        <w:pageBreakBefore w:val="0"/>
        <w:widowControl w:val="0"/>
        <w:kinsoku/>
        <w:wordWrap/>
        <w:overflowPunct/>
        <w:topLinePunct w:val="0"/>
        <w:autoSpaceDE/>
        <w:autoSpaceDN/>
        <w:bidi w:val="0"/>
        <w:adjustRightInd w:val="0"/>
        <w:snapToGrid w:val="0"/>
        <w:textAlignment w:val="auto"/>
        <w:rPr>
          <w:rFonts w:hint="eastAsia"/>
          <w:color w:val="auto"/>
          <w:highlight w:val="none"/>
        </w:rPr>
      </w:pPr>
      <w:bookmarkStart w:id="23" w:name="_Toc2995"/>
      <w:r>
        <w:rPr>
          <w:rFonts w:hint="eastAsia"/>
          <w:color w:val="auto"/>
          <w:highlight w:val="none"/>
        </w:rPr>
        <w:t>第四节 优化立体交通网络</w:t>
      </w:r>
      <w:bookmarkEnd w:id="23"/>
    </w:p>
    <w:p w14:paraId="5731A311">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构建高效公路网络。</w:t>
      </w:r>
      <w:r>
        <w:rPr>
          <w:rFonts w:hint="eastAsia" w:ascii="仿宋_GB2312" w:hAnsi="仿宋_GB2312" w:eastAsia="仿宋_GB2312" w:cs="仿宋_GB2312"/>
          <w:color w:val="auto"/>
          <w:sz w:val="32"/>
          <w:szCs w:val="32"/>
          <w:highlight w:val="none"/>
        </w:rPr>
        <w:t>有序推进国省干线公路升级改造，重点实施G206峄城界至穆庄段下行线、S241雷草至鲁苏界段、S231雷草村至台利路段等大修工程，进一步提升干线道路通行能力和服务水平。</w:t>
      </w:r>
      <w:r>
        <w:rPr>
          <w:rFonts w:hint="eastAsia" w:ascii="仿宋_GB2312" w:hAnsi="仿宋_GB2312" w:eastAsia="仿宋_GB2312" w:cs="仿宋_GB2312"/>
          <w:color w:val="auto"/>
          <w:sz w:val="32"/>
          <w:szCs w:val="32"/>
          <w:highlight w:val="none"/>
          <w:lang w:val="en-US" w:eastAsia="zh-CN"/>
        </w:rPr>
        <w:t>稳步推进</w:t>
      </w:r>
      <w:r>
        <w:rPr>
          <w:rFonts w:hint="eastAsia" w:ascii="仿宋_GB2312" w:hAnsi="仿宋_GB2312" w:eastAsia="仿宋_GB2312" w:cs="仿宋_GB2312"/>
          <w:color w:val="auto"/>
          <w:sz w:val="32"/>
          <w:szCs w:val="32"/>
          <w:highlight w:val="none"/>
        </w:rPr>
        <w:t>X035、X036、X013等县道大修工程，并建成运河南堤风景旅游大道，促进沿线资源开发和文旅融合发展。持续深化农村公路建管养运协调发展，扎实推进“四好农村路”建设提质增效，着力改善农村地区通行条件，有效破解物流运输“最后一公里”瓶颈，切实强化农村与城区、产业园区之间的交通连接，助力乡村振兴和县域经济发展。持续优化全区路网结构，为经济社会高质量发展和人民群众便捷出行奠定更加牢固的交通基础。</w:t>
      </w:r>
    </w:p>
    <w:p w14:paraId="02791EE0">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强化铁路运输能力。</w:t>
      </w:r>
      <w:r>
        <w:rPr>
          <w:rFonts w:hint="eastAsia" w:ascii="仿宋_GB2312" w:hAnsi="仿宋_GB2312" w:eastAsia="仿宋_GB2312" w:cs="仿宋_GB2312"/>
          <w:b w:val="0"/>
          <w:bCs/>
          <w:color w:val="auto"/>
          <w:kern w:val="2"/>
          <w:sz w:val="32"/>
          <w:szCs w:val="32"/>
          <w:highlight w:val="none"/>
          <w:lang w:val="en-US" w:eastAsia="zh-CN" w:bidi="ar-SA"/>
        </w:rPr>
        <w:t>全力配合济枣高铁建设，扎实做好属地协调与服务保障，同步开展济枣高铁南延前期研究，主动向上对接。高标准推进台儿庄站综合客运枢纽规划建设，优化周边路网与用地布局，促进高铁与公路、公交、出租等多种交通方式高效衔接，构建一体化便捷换乘体系。提前谋划客运组织与接驳方案，积极争取优化列车班次与货运服务，提升铁路运输效率与可靠性，提升区域联通水平，为全区高质量发展提供坚实交通支撑。</w:t>
      </w:r>
      <w:r>
        <w:rPr>
          <w:rFonts w:hint="eastAsia" w:ascii="仿宋_GB2312" w:hAnsi="仿宋_GB2312" w:eastAsia="仿宋_GB2312" w:cs="仿宋_GB2312"/>
          <w:color w:val="auto"/>
          <w:sz w:val="32"/>
          <w:szCs w:val="32"/>
          <w:highlight w:val="none"/>
        </w:rPr>
        <w:t xml:space="preserve"> </w:t>
      </w:r>
    </w:p>
    <w:p w14:paraId="20DCD542">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color w:val="auto"/>
          <w:sz w:val="32"/>
          <w:szCs w:val="32"/>
          <w:highlight w:val="none"/>
        </w:rPr>
        <w:t>提升港航设施水平。</w:t>
      </w:r>
      <w:r>
        <w:rPr>
          <w:rFonts w:hint="eastAsia" w:ascii="仿宋_GB2312" w:hAnsi="仿宋_GB2312" w:eastAsia="仿宋_GB2312" w:cs="仿宋_GB2312"/>
          <w:color w:val="auto"/>
          <w:sz w:val="32"/>
          <w:szCs w:val="32"/>
          <w:highlight w:val="none"/>
          <w:lang w:val="en-US" w:eastAsia="zh-CN"/>
        </w:rPr>
        <w:t>推动台儿庄闸三线船闸规划，启动万年闸三线船闸、伊家河航道前期研究。完善台儿庄港配套设施，加强运河沿线锚地、待泊区建设，规划建设配备现代化仓储、分拣设施的港口物流园区。推进马兰屯作业区扩容升级与涧头集作业区规划建设，提升港口吞吐能力。重点建设马兰屯作业区至国道206、省道231及涧头集作业区至国道206等疏港公路，强化港口与干线公路衔接，提升货物集散效率，为区域物流与沿运河产业带发展提供支撑。</w:t>
      </w:r>
    </w:p>
    <w:p w14:paraId="28EA64BE">
      <w:pPr>
        <w:pStyle w:val="6"/>
        <w:pageBreakBefore w:val="0"/>
        <w:widowControl w:val="0"/>
        <w:kinsoku/>
        <w:wordWrap/>
        <w:overflowPunct/>
        <w:topLinePunct w:val="0"/>
        <w:autoSpaceDE/>
        <w:autoSpaceDN/>
        <w:bidi w:val="0"/>
        <w:adjustRightInd w:val="0"/>
        <w:snapToGrid w:val="0"/>
        <w:textAlignment w:val="auto"/>
        <w:rPr>
          <w:rFonts w:hint="eastAsia"/>
          <w:color w:val="auto"/>
          <w:highlight w:val="none"/>
        </w:rPr>
      </w:pPr>
      <w:bookmarkStart w:id="24" w:name="_Toc4859"/>
      <w:r>
        <w:rPr>
          <w:rFonts w:hint="eastAsia"/>
          <w:color w:val="auto"/>
          <w:highlight w:val="none"/>
        </w:rPr>
        <w:t>第五节 建设现代化水网体系</w:t>
      </w:r>
      <w:bookmarkEnd w:id="24"/>
    </w:p>
    <w:p w14:paraId="5673E69F">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优化水资源配置格局。</w:t>
      </w:r>
      <w:r>
        <w:rPr>
          <w:rFonts w:hint="eastAsia" w:ascii="仿宋_GB2312" w:hAnsi="仿宋_GB2312" w:eastAsia="仿宋_GB2312" w:cs="仿宋_GB2312"/>
          <w:color w:val="auto"/>
          <w:sz w:val="32"/>
          <w:szCs w:val="32"/>
          <w:highlight w:val="none"/>
        </w:rPr>
        <w:t>坚持以水定城、以水定地、以水定人、以水定产，推进城南水库建设，满足城市发展供水需求。</w:t>
      </w:r>
      <w:r>
        <w:rPr>
          <w:rFonts w:hint="eastAsia" w:ascii="仿宋_GB2312" w:hAnsi="Times New Roman" w:eastAsia="仿宋_GB2312"/>
          <w:color w:val="auto"/>
          <w:sz w:val="32"/>
          <w:szCs w:val="32"/>
          <w:highlight w:val="none"/>
        </w:rPr>
        <w:t>优化供水网络，</w:t>
      </w:r>
      <w:r>
        <w:rPr>
          <w:rFonts w:hint="eastAsia" w:ascii="仿宋_GB2312" w:hAnsi="仿宋_GB2312" w:eastAsia="仿宋_GB2312" w:cs="仿宋_GB2312"/>
          <w:color w:val="auto"/>
          <w:sz w:val="32"/>
          <w:szCs w:val="32"/>
          <w:highlight w:val="none"/>
        </w:rPr>
        <w:t>推进东北部城区及高铁片区供水管网工程，</w:t>
      </w:r>
      <w:r>
        <w:rPr>
          <w:rFonts w:hint="eastAsia" w:ascii="仿宋_GB2312" w:hAnsi="Times New Roman" w:eastAsia="仿宋_GB2312"/>
          <w:color w:val="auto"/>
          <w:sz w:val="32"/>
          <w:szCs w:val="32"/>
          <w:highlight w:val="none"/>
        </w:rPr>
        <w:t>更换老化及供水量不足管道，</w:t>
      </w:r>
      <w:r>
        <w:rPr>
          <w:rFonts w:hint="eastAsia" w:ascii="仿宋_GB2312" w:hAnsi="仿宋_GB2312" w:eastAsia="仿宋_GB2312" w:cs="仿宋_GB2312"/>
          <w:color w:val="auto"/>
          <w:sz w:val="32"/>
          <w:szCs w:val="32"/>
          <w:highlight w:val="none"/>
        </w:rPr>
        <w:t>实现城区供水管网互联互通。实施再生水利用工程，加强再生水管网、供水监控调度管理信息平台建设</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促进区域再生水循环利用。实施农村供水保障提升工程，推动张庄、秦庄、涧头集等水厂扩容提质，改造</w:t>
      </w:r>
      <w:r>
        <w:rPr>
          <w:rFonts w:ascii="仿宋_GB2312" w:hAnsi="仿宋_GB2312" w:eastAsia="仿宋_GB2312" w:cs="仿宋_GB2312"/>
          <w:color w:val="auto"/>
          <w:sz w:val="32"/>
          <w:szCs w:val="32"/>
          <w:highlight w:val="none"/>
        </w:rPr>
        <w:t>提升</w:t>
      </w:r>
      <w:r>
        <w:rPr>
          <w:rFonts w:hint="eastAsia" w:ascii="仿宋_GB2312" w:hAnsi="仿宋_GB2312" w:eastAsia="仿宋_GB2312" w:cs="仿宋_GB2312"/>
          <w:color w:val="auto"/>
          <w:sz w:val="32"/>
          <w:szCs w:val="32"/>
          <w:highlight w:val="none"/>
        </w:rPr>
        <w:t>净化消毒设施及供水设备，完善政府主导、</w:t>
      </w:r>
      <w:r>
        <w:rPr>
          <w:rFonts w:hint="eastAsia" w:ascii="仿宋_GB2312" w:hAnsi="仿宋_GB2312" w:eastAsia="仿宋_GB2312" w:cs="仿宋_GB2312"/>
          <w:color w:val="auto"/>
          <w:sz w:val="32"/>
          <w:szCs w:val="32"/>
          <w:highlight w:val="none"/>
          <w:lang w:val="en-US" w:eastAsia="zh-CN"/>
        </w:rPr>
        <w:t>区</w:t>
      </w:r>
      <w:r>
        <w:rPr>
          <w:rFonts w:hint="eastAsia" w:ascii="仿宋_GB2312" w:hAnsi="仿宋_GB2312" w:eastAsia="仿宋_GB2312" w:cs="仿宋_GB2312"/>
          <w:color w:val="auto"/>
          <w:sz w:val="32"/>
          <w:szCs w:val="32"/>
          <w:highlight w:val="none"/>
        </w:rPr>
        <w:t>级统管、公司运作的长效运行管理机制，打通农村供水“最后一公里”。</w:t>
      </w:r>
    </w:p>
    <w:p w14:paraId="51A302F2">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宋体" w:eastAsia="仿宋_GB2312"/>
          <w:color w:val="auto"/>
          <w:sz w:val="32"/>
          <w:szCs w:val="32"/>
          <w:highlight w:val="none"/>
        </w:rPr>
      </w:pPr>
      <w:r>
        <w:rPr>
          <w:rFonts w:hint="eastAsia" w:ascii="仿宋_GB2312" w:hAnsi="宋体" w:eastAsia="仿宋_GB2312"/>
          <w:b/>
          <w:bCs/>
          <w:color w:val="auto"/>
          <w:sz w:val="32"/>
          <w:szCs w:val="32"/>
          <w:highlight w:val="none"/>
        </w:rPr>
        <w:t>提升洪涝灾害防御能力。</w:t>
      </w:r>
      <w:r>
        <w:rPr>
          <w:rFonts w:hint="eastAsia" w:ascii="仿宋_GB2312" w:hAnsi="宋体" w:eastAsia="仿宋_GB2312"/>
          <w:color w:val="auto"/>
          <w:sz w:val="32"/>
          <w:szCs w:val="32"/>
          <w:highlight w:val="none"/>
        </w:rPr>
        <w:t>聚焦防汛薄弱环节，实施韩庄运河百年一遇提标、伊家河以南重点涝区、韩庄运河北支流等防洪排涝</w:t>
      </w:r>
      <w:r>
        <w:rPr>
          <w:rFonts w:ascii="仿宋_GB2312" w:hAnsi="宋体" w:eastAsia="仿宋_GB2312"/>
          <w:color w:val="auto"/>
          <w:sz w:val="32"/>
          <w:szCs w:val="32"/>
          <w:highlight w:val="none"/>
        </w:rPr>
        <w:t>项目，</w:t>
      </w:r>
      <w:r>
        <w:rPr>
          <w:rFonts w:hint="eastAsia" w:ascii="仿宋_GB2312" w:hAnsi="宋体" w:eastAsia="仿宋_GB2312"/>
          <w:color w:val="auto"/>
          <w:sz w:val="32"/>
          <w:szCs w:val="32"/>
          <w:highlight w:val="none"/>
        </w:rPr>
        <w:t>加强200</w:t>
      </w:r>
      <w:r>
        <w:rPr>
          <w:rFonts w:hint="eastAsia" w:ascii="仿宋_GB2312" w:hAnsi="宋体" w:eastAsia="仿宋_GB2312"/>
          <w:color w:val="auto"/>
          <w:sz w:val="32"/>
          <w:szCs w:val="32"/>
          <w:highlight w:val="none"/>
          <w:lang w:eastAsia="zh-CN"/>
        </w:rPr>
        <w:t>–</w:t>
      </w:r>
      <w:r>
        <w:rPr>
          <w:rFonts w:hint="eastAsia" w:ascii="仿宋_GB2312" w:hAnsi="宋体" w:eastAsia="仿宋_GB2312"/>
          <w:color w:val="auto"/>
          <w:sz w:val="32"/>
          <w:szCs w:val="32"/>
          <w:highlight w:val="none"/>
        </w:rPr>
        <w:t>3000平方公里河道防洪治理，开展于沟河农村水系综合整治，畅通骨干河流洪水通道，构建以河道、水库、堤防、闸坝、排涝泵站为架构的水旱灾害防御工程体系。统筹协调流域防洪与区域排涝，治涝与防洪、灌溉的关系，合理安排涝区涝水出路，推进枣庄市台儿庄区城市排水防涝提升工程，提高排涝能力与增强调蓄能力相结合。</w:t>
      </w:r>
    </w:p>
    <w:p w14:paraId="4545E952">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宋体" w:eastAsia="仿宋_GB2312"/>
          <w:color w:val="auto"/>
          <w:sz w:val="32"/>
          <w:szCs w:val="32"/>
          <w:highlight w:val="none"/>
        </w:rPr>
      </w:pPr>
      <w:r>
        <w:rPr>
          <w:rFonts w:hint="eastAsia" w:ascii="Times New Roman" w:hAnsi="Times New Roman" w:eastAsia="仿宋_GB2312"/>
          <w:b/>
          <w:bCs/>
          <w:color w:val="auto"/>
          <w:kern w:val="0"/>
          <w:sz w:val="32"/>
          <w:szCs w:val="32"/>
          <w:highlight w:val="none"/>
          <w:lang w:bidi="ar"/>
        </w:rPr>
        <w:t>推进智慧水利建设。</w:t>
      </w:r>
      <w:r>
        <w:rPr>
          <w:rFonts w:hint="eastAsia" w:ascii="仿宋_GB2312" w:hAnsi="宋体" w:eastAsia="仿宋_GB2312"/>
          <w:color w:val="auto"/>
          <w:sz w:val="32"/>
          <w:szCs w:val="32"/>
          <w:highlight w:val="none"/>
        </w:rPr>
        <w:t>按照“强感知、增智慧、促应用”的思路，加强水安全感知能力建设，加快水利数字化转型，构建数字化、网络化、智能化的智慧水利体系。加强水库大坝、引调水、堤防等工程安全和运行监测设施建设，完善雨量、水位、流量、水质、墒情、水土保持等监测设施，提升水文测报、水生态监测能力。加快已建水利工程智能化改造，提升水利工程运行管理智能化水平。</w:t>
      </w:r>
    </w:p>
    <w:p w14:paraId="0C56442E">
      <w:pPr>
        <w:pStyle w:val="12"/>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宋体" w:eastAsia="仿宋_GB2312"/>
          <w:color w:val="auto"/>
          <w:sz w:val="32"/>
          <w:szCs w:val="32"/>
          <w:highlight w:val="none"/>
        </w:rPr>
      </w:pPr>
    </w:p>
    <w:p w14:paraId="13C4DED0">
      <w:pPr>
        <w:pStyle w:val="12"/>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宋体" w:eastAsia="仿宋_GB2312"/>
          <w:color w:val="auto"/>
          <w:sz w:val="32"/>
          <w:szCs w:val="32"/>
          <w:highlight w:val="none"/>
        </w:rPr>
      </w:pPr>
    </w:p>
    <w:p w14:paraId="30D3BA35">
      <w:pPr>
        <w:pStyle w:val="12"/>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宋体" w:eastAsia="仿宋_GB2312"/>
          <w:color w:val="auto"/>
          <w:sz w:val="32"/>
          <w:szCs w:val="32"/>
          <w:highlight w:val="none"/>
        </w:rPr>
      </w:pPr>
    </w:p>
    <w:p w14:paraId="109436FD">
      <w:pPr>
        <w:pStyle w:val="12"/>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宋体" w:eastAsia="仿宋_GB2312"/>
          <w:color w:val="auto"/>
          <w:sz w:val="32"/>
          <w:szCs w:val="32"/>
          <w:highlight w:val="none"/>
        </w:rPr>
      </w:pPr>
    </w:p>
    <w:p w14:paraId="0EEBD12E">
      <w:pPr>
        <w:pStyle w:val="12"/>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宋体" w:eastAsia="仿宋_GB2312"/>
          <w:color w:val="auto"/>
          <w:sz w:val="32"/>
          <w:szCs w:val="32"/>
          <w:highlight w:val="none"/>
        </w:rPr>
      </w:pPr>
    </w:p>
    <w:tbl>
      <w:tblPr>
        <w:tblStyle w:val="20"/>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15822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296" w:type="dxa"/>
            <w:noWrap w:val="0"/>
            <w:vAlign w:val="center"/>
          </w:tcPr>
          <w:p w14:paraId="3A91F2EE">
            <w:pPr>
              <w:jc w:val="center"/>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专栏</w:t>
            </w:r>
            <w:r>
              <w:rPr>
                <w:rFonts w:hint="eastAsia" w:ascii="黑体" w:hAnsi="黑体" w:eastAsia="黑体" w:cs="宋体"/>
                <w:bCs/>
                <w:color w:val="auto"/>
                <w:sz w:val="28"/>
                <w:szCs w:val="28"/>
                <w:highlight w:val="none"/>
                <w:lang w:val="en-US" w:eastAsia="zh-CN"/>
              </w:rPr>
              <w:t>4</w:t>
            </w:r>
            <w:r>
              <w:rPr>
                <w:rFonts w:hint="eastAsia" w:ascii="黑体" w:hAnsi="黑体" w:eastAsia="黑体" w:cs="宋体"/>
                <w:bCs/>
                <w:color w:val="auto"/>
                <w:sz w:val="28"/>
                <w:szCs w:val="28"/>
                <w:highlight w:val="none"/>
              </w:rPr>
              <w:t>：基础设施重点项目</w:t>
            </w:r>
          </w:p>
        </w:tc>
      </w:tr>
      <w:tr w14:paraId="3A5D9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noWrap w:val="0"/>
            <w:vAlign w:val="top"/>
          </w:tcPr>
          <w:p w14:paraId="20A8077F">
            <w:pPr>
              <w:keepNext w:val="0"/>
              <w:keepLines w:val="0"/>
              <w:pageBreakBefore w:val="0"/>
              <w:widowControl w:val="0"/>
              <w:kinsoku/>
              <w:wordWrap/>
              <w:overflowPunct/>
              <w:topLinePunct w:val="0"/>
              <w:autoSpaceDE/>
              <w:autoSpaceDN/>
              <w:bidi w:val="0"/>
              <w:adjustRightInd/>
              <w:snapToGrid/>
              <w:spacing w:line="600" w:lineRule="exact"/>
              <w:ind w:firstLine="562" w:firstLineChars="200"/>
              <w:textAlignment w:val="auto"/>
              <w:rPr>
                <w:rFonts w:hint="eastAsia" w:ascii="仿宋_GB2312" w:hAnsi="宋体" w:eastAsia="仿宋_GB2312" w:cs="宋体"/>
                <w:bCs/>
                <w:color w:val="auto"/>
                <w:sz w:val="28"/>
                <w:szCs w:val="28"/>
                <w:highlight w:val="none"/>
                <w:lang w:eastAsia="zh-CN"/>
              </w:rPr>
            </w:pPr>
            <w:r>
              <w:rPr>
                <w:rFonts w:hint="eastAsia" w:ascii="仿宋_GB2312" w:hAnsi="宋体" w:eastAsia="仿宋_GB2312" w:cs="宋体"/>
                <w:b/>
                <w:bCs w:val="0"/>
                <w:color w:val="auto"/>
                <w:sz w:val="28"/>
                <w:szCs w:val="28"/>
                <w:highlight w:val="none"/>
              </w:rPr>
              <w:t>交通基础设施：</w:t>
            </w:r>
            <w:r>
              <w:rPr>
                <w:rFonts w:hint="eastAsia" w:ascii="仿宋_GB2312" w:hAnsi="宋体" w:eastAsia="仿宋_GB2312" w:cs="宋体"/>
                <w:bCs/>
                <w:color w:val="auto"/>
                <w:sz w:val="28"/>
                <w:szCs w:val="28"/>
                <w:highlight w:val="none"/>
              </w:rPr>
              <w:t>（1）枣庄至新沂（徐州）铁路工程（2）京杭运河台儿庄三线船闸工程（</w:t>
            </w:r>
            <w:r>
              <w:rPr>
                <w:rFonts w:ascii="仿宋_GB2312" w:hAnsi="宋体" w:eastAsia="仿宋_GB2312" w:cs="宋体"/>
                <w:bCs/>
                <w:color w:val="auto"/>
                <w:sz w:val="28"/>
                <w:szCs w:val="28"/>
                <w:highlight w:val="none"/>
              </w:rPr>
              <w:t>3</w:t>
            </w:r>
            <w:r>
              <w:rPr>
                <w:rFonts w:hint="eastAsia" w:ascii="仿宋_GB2312" w:hAnsi="宋体" w:eastAsia="仿宋_GB2312" w:cs="宋体"/>
                <w:bCs/>
                <w:color w:val="auto"/>
                <w:sz w:val="28"/>
                <w:szCs w:val="28"/>
                <w:highlight w:val="none"/>
              </w:rPr>
              <w:t>）京杭运河万年闸三线船闸工程（</w:t>
            </w:r>
            <w:r>
              <w:rPr>
                <w:rFonts w:ascii="仿宋_GB2312" w:hAnsi="宋体" w:eastAsia="仿宋_GB2312" w:cs="宋体"/>
                <w:bCs/>
                <w:color w:val="auto"/>
                <w:sz w:val="28"/>
                <w:szCs w:val="28"/>
                <w:highlight w:val="none"/>
              </w:rPr>
              <w:t>4</w:t>
            </w:r>
            <w:r>
              <w:rPr>
                <w:rFonts w:hint="eastAsia" w:ascii="仿宋_GB2312" w:hAnsi="宋体" w:eastAsia="仿宋_GB2312" w:cs="宋体"/>
                <w:bCs/>
                <w:color w:val="auto"/>
                <w:sz w:val="28"/>
                <w:szCs w:val="28"/>
                <w:highlight w:val="none"/>
              </w:rPr>
              <w:t>）台儿庄区综合客运枢纽（</w:t>
            </w:r>
            <w:r>
              <w:rPr>
                <w:rFonts w:ascii="仿宋_GB2312" w:hAnsi="宋体" w:eastAsia="仿宋_GB2312" w:cs="宋体"/>
                <w:bCs/>
                <w:color w:val="auto"/>
                <w:sz w:val="28"/>
                <w:szCs w:val="28"/>
                <w:highlight w:val="none"/>
              </w:rPr>
              <w:t>5</w:t>
            </w:r>
            <w:r>
              <w:rPr>
                <w:rFonts w:hint="eastAsia" w:ascii="仿宋_GB2312" w:hAnsi="宋体" w:eastAsia="仿宋_GB2312" w:cs="宋体"/>
                <w:bCs/>
                <w:color w:val="auto"/>
                <w:sz w:val="28"/>
                <w:szCs w:val="28"/>
                <w:highlight w:val="none"/>
              </w:rPr>
              <w:t>）枣庄港台儿庄港区马兰屯作业区#</w:t>
            </w:r>
            <w:r>
              <w:rPr>
                <w:rFonts w:hint="eastAsia" w:ascii="仿宋_GB2312" w:hAnsi="宋体" w:eastAsia="仿宋_GB2312" w:cs="宋体"/>
                <w:bCs/>
                <w:color w:val="auto"/>
                <w:sz w:val="28"/>
                <w:szCs w:val="28"/>
                <w:highlight w:val="none"/>
                <w:lang w:val="en-US" w:eastAsia="zh-CN"/>
              </w:rPr>
              <w:t>7</w:t>
            </w:r>
            <w:r>
              <w:rPr>
                <w:rFonts w:hint="eastAsia" w:ascii="仿宋_GB2312" w:hAnsi="宋体" w:eastAsia="仿宋_GB2312" w:cs="宋体"/>
                <w:bCs/>
                <w:color w:val="auto"/>
                <w:sz w:val="28"/>
                <w:szCs w:val="28"/>
                <w:highlight w:val="none"/>
              </w:rPr>
              <w:t>～#1</w:t>
            </w:r>
            <w:r>
              <w:rPr>
                <w:rFonts w:hint="eastAsia" w:ascii="仿宋_GB2312" w:hAnsi="宋体" w:eastAsia="仿宋_GB2312" w:cs="宋体"/>
                <w:bCs/>
                <w:color w:val="auto"/>
                <w:sz w:val="28"/>
                <w:szCs w:val="28"/>
                <w:highlight w:val="none"/>
                <w:lang w:val="en-US" w:eastAsia="zh-CN"/>
              </w:rPr>
              <w:t>8</w:t>
            </w:r>
            <w:r>
              <w:rPr>
                <w:rFonts w:hint="eastAsia" w:ascii="仿宋_GB2312" w:hAnsi="宋体" w:eastAsia="仿宋_GB2312" w:cs="宋体"/>
                <w:bCs/>
                <w:color w:val="auto"/>
                <w:sz w:val="28"/>
                <w:szCs w:val="28"/>
                <w:highlight w:val="none"/>
              </w:rPr>
              <w:t>泊位工程（</w:t>
            </w:r>
            <w:r>
              <w:rPr>
                <w:rFonts w:ascii="仿宋_GB2312" w:hAnsi="宋体" w:eastAsia="仿宋_GB2312" w:cs="宋体"/>
                <w:bCs/>
                <w:color w:val="auto"/>
                <w:sz w:val="28"/>
                <w:szCs w:val="28"/>
                <w:highlight w:val="none"/>
              </w:rPr>
              <w:t>6</w:t>
            </w:r>
            <w:r>
              <w:rPr>
                <w:rFonts w:hint="eastAsia" w:ascii="仿宋_GB2312" w:hAnsi="宋体" w:eastAsia="仿宋_GB2312" w:cs="宋体"/>
                <w:bCs/>
                <w:color w:val="auto"/>
                <w:sz w:val="28"/>
                <w:szCs w:val="28"/>
                <w:highlight w:val="none"/>
              </w:rPr>
              <w:t>）枣庄港台儿庄港区涧头集作业区#1</w:t>
            </w:r>
            <w:r>
              <w:rPr>
                <w:rFonts w:hint="eastAsia" w:ascii="仿宋_GB2312" w:hAnsi="宋体" w:eastAsia="仿宋_GB2312" w:cs="宋体"/>
                <w:bCs/>
                <w:color w:val="auto"/>
                <w:sz w:val="28"/>
                <w:szCs w:val="28"/>
                <w:highlight w:val="none"/>
                <w:lang w:eastAsia="zh-CN"/>
              </w:rPr>
              <w:t>–</w:t>
            </w:r>
            <w:r>
              <w:rPr>
                <w:rFonts w:hint="eastAsia" w:ascii="仿宋_GB2312" w:hAnsi="宋体" w:eastAsia="仿宋_GB2312" w:cs="宋体"/>
                <w:bCs/>
                <w:color w:val="auto"/>
                <w:sz w:val="28"/>
                <w:szCs w:val="28"/>
                <w:highlight w:val="none"/>
              </w:rPr>
              <w:t>#6泊位工程及进港航道工程（</w:t>
            </w:r>
            <w:r>
              <w:rPr>
                <w:rFonts w:ascii="仿宋_GB2312" w:hAnsi="宋体" w:eastAsia="仿宋_GB2312" w:cs="宋体"/>
                <w:bCs/>
                <w:color w:val="auto"/>
                <w:sz w:val="28"/>
                <w:szCs w:val="28"/>
                <w:highlight w:val="none"/>
              </w:rPr>
              <w:t>7</w:t>
            </w:r>
            <w:r>
              <w:rPr>
                <w:rFonts w:hint="eastAsia" w:ascii="仿宋_GB2312" w:hAnsi="宋体" w:eastAsia="仿宋_GB2312" w:cs="宋体"/>
                <w:bCs/>
                <w:color w:val="auto"/>
                <w:sz w:val="28"/>
                <w:szCs w:val="28"/>
                <w:highlight w:val="none"/>
              </w:rPr>
              <w:t>）台儿庄区通用机场工程</w:t>
            </w:r>
            <w:r>
              <w:rPr>
                <w:rFonts w:hint="eastAsia" w:ascii="仿宋_GB2312" w:hAnsi="宋体" w:eastAsia="仿宋_GB2312" w:cs="宋体"/>
                <w:bCs/>
                <w:color w:val="auto"/>
                <w:sz w:val="28"/>
                <w:szCs w:val="28"/>
                <w:highlight w:val="none"/>
                <w:lang w:eastAsia="zh-CN"/>
              </w:rPr>
              <w:t>（</w:t>
            </w:r>
            <w:r>
              <w:rPr>
                <w:rFonts w:hint="eastAsia" w:ascii="仿宋_GB2312" w:hAnsi="宋体" w:eastAsia="仿宋_GB2312" w:cs="宋体"/>
                <w:bCs/>
                <w:color w:val="auto"/>
                <w:sz w:val="28"/>
                <w:szCs w:val="28"/>
                <w:highlight w:val="none"/>
                <w:lang w:val="en-US" w:eastAsia="zh-CN"/>
              </w:rPr>
              <w:t>8</w:t>
            </w:r>
            <w:r>
              <w:rPr>
                <w:rFonts w:hint="eastAsia" w:ascii="仿宋_GB2312" w:hAnsi="宋体" w:eastAsia="仿宋_GB2312" w:cs="宋体"/>
                <w:bCs/>
                <w:color w:val="auto"/>
                <w:sz w:val="28"/>
                <w:szCs w:val="28"/>
                <w:highlight w:val="none"/>
                <w:lang w:eastAsia="zh-CN"/>
              </w:rPr>
              <w:t>）台儿庄区快递物流园区（9）</w:t>
            </w:r>
            <w:r>
              <w:rPr>
                <w:rFonts w:hint="eastAsia" w:ascii="仿宋_GB2312" w:hAnsi="宋体" w:eastAsia="仿宋_GB2312" w:cs="宋体"/>
                <w:bCs/>
                <w:color w:val="auto"/>
                <w:sz w:val="28"/>
                <w:szCs w:val="28"/>
                <w:highlight w:val="none"/>
                <w:lang w:val="en-US" w:eastAsia="zh-CN"/>
              </w:rPr>
              <w:t>台儿庄古城运河</w:t>
            </w:r>
            <w:r>
              <w:rPr>
                <w:rFonts w:hint="eastAsia" w:ascii="仿宋_GB2312" w:hAnsi="宋体" w:eastAsia="仿宋_GB2312" w:cs="宋体"/>
                <w:bCs/>
                <w:color w:val="auto"/>
                <w:sz w:val="28"/>
                <w:szCs w:val="28"/>
                <w:highlight w:val="none"/>
                <w:lang w:eastAsia="zh-CN"/>
              </w:rPr>
              <w:t>大桥（</w:t>
            </w:r>
            <w:r>
              <w:rPr>
                <w:rFonts w:hint="eastAsia" w:ascii="仿宋_GB2312" w:hAnsi="宋体" w:eastAsia="仿宋_GB2312" w:cs="宋体"/>
                <w:bCs/>
                <w:color w:val="auto"/>
                <w:sz w:val="28"/>
                <w:szCs w:val="28"/>
                <w:highlight w:val="none"/>
                <w:lang w:val="en-US" w:eastAsia="zh-CN"/>
              </w:rPr>
              <w:t>10</w:t>
            </w:r>
            <w:r>
              <w:rPr>
                <w:rFonts w:hint="eastAsia" w:ascii="仿宋_GB2312" w:hAnsi="宋体" w:eastAsia="仿宋_GB2312" w:cs="宋体"/>
                <w:bCs/>
                <w:color w:val="auto"/>
                <w:sz w:val="28"/>
                <w:szCs w:val="28"/>
                <w:highlight w:val="none"/>
                <w:lang w:eastAsia="zh-CN"/>
              </w:rPr>
              <w:t>）</w:t>
            </w:r>
            <w:r>
              <w:rPr>
                <w:rFonts w:hint="eastAsia" w:ascii="仿宋_GB2312" w:hAnsi="宋体" w:eastAsia="仿宋_GB2312" w:cs="宋体"/>
                <w:bCs/>
                <w:color w:val="auto"/>
                <w:sz w:val="28"/>
                <w:szCs w:val="28"/>
                <w:highlight w:val="none"/>
              </w:rPr>
              <w:t>马兰屯作业区至S231疏港公路</w:t>
            </w:r>
            <w:r>
              <w:rPr>
                <w:rFonts w:hint="eastAsia" w:ascii="仿宋_GB2312" w:hAnsi="宋体" w:eastAsia="仿宋_GB2312" w:cs="宋体"/>
                <w:bCs/>
                <w:color w:val="auto"/>
                <w:sz w:val="28"/>
                <w:szCs w:val="28"/>
                <w:highlight w:val="none"/>
                <w:lang w:eastAsia="zh-CN"/>
              </w:rPr>
              <w:t>（</w:t>
            </w:r>
            <w:r>
              <w:rPr>
                <w:rFonts w:hint="eastAsia" w:ascii="仿宋_GB2312" w:hAnsi="宋体" w:eastAsia="仿宋_GB2312" w:cs="宋体"/>
                <w:bCs/>
                <w:color w:val="auto"/>
                <w:sz w:val="28"/>
                <w:szCs w:val="28"/>
                <w:highlight w:val="none"/>
                <w:lang w:val="en-US" w:eastAsia="zh-CN"/>
              </w:rPr>
              <w:t>11</w:t>
            </w:r>
            <w:r>
              <w:rPr>
                <w:rFonts w:hint="eastAsia" w:ascii="仿宋_GB2312" w:hAnsi="宋体" w:eastAsia="仿宋_GB2312" w:cs="宋体"/>
                <w:bCs/>
                <w:color w:val="auto"/>
                <w:sz w:val="28"/>
                <w:szCs w:val="28"/>
                <w:highlight w:val="none"/>
                <w:lang w:eastAsia="zh-CN"/>
              </w:rPr>
              <w:t>）</w:t>
            </w:r>
            <w:r>
              <w:rPr>
                <w:rFonts w:hint="eastAsia" w:ascii="仿宋_GB2312" w:hAnsi="宋体" w:eastAsia="仿宋_GB2312" w:cs="宋体"/>
                <w:bCs/>
                <w:color w:val="auto"/>
                <w:sz w:val="28"/>
                <w:szCs w:val="28"/>
                <w:highlight w:val="none"/>
              </w:rPr>
              <w:t>马兰屯作业区至G206疏港公路</w:t>
            </w:r>
            <w:r>
              <w:rPr>
                <w:rFonts w:hint="eastAsia" w:ascii="仿宋_GB2312" w:hAnsi="宋体" w:eastAsia="仿宋_GB2312" w:cs="宋体"/>
                <w:bCs/>
                <w:color w:val="auto"/>
                <w:sz w:val="28"/>
                <w:szCs w:val="28"/>
                <w:highlight w:val="none"/>
                <w:lang w:eastAsia="zh-CN"/>
              </w:rPr>
              <w:t>（</w:t>
            </w:r>
            <w:r>
              <w:rPr>
                <w:rFonts w:hint="eastAsia" w:ascii="仿宋_GB2312" w:hAnsi="宋体" w:eastAsia="仿宋_GB2312" w:cs="宋体"/>
                <w:bCs/>
                <w:color w:val="auto"/>
                <w:sz w:val="28"/>
                <w:szCs w:val="28"/>
                <w:highlight w:val="none"/>
                <w:lang w:val="en-US" w:eastAsia="zh-CN"/>
              </w:rPr>
              <w:t>12</w:t>
            </w:r>
            <w:r>
              <w:rPr>
                <w:rFonts w:hint="eastAsia" w:ascii="仿宋_GB2312" w:hAnsi="宋体" w:eastAsia="仿宋_GB2312" w:cs="宋体"/>
                <w:bCs/>
                <w:color w:val="auto"/>
                <w:sz w:val="28"/>
                <w:szCs w:val="28"/>
                <w:highlight w:val="none"/>
                <w:lang w:eastAsia="zh-CN"/>
              </w:rPr>
              <w:t>）</w:t>
            </w:r>
            <w:r>
              <w:rPr>
                <w:rFonts w:hint="eastAsia" w:ascii="仿宋_GB2312" w:hAnsi="宋体" w:eastAsia="仿宋_GB2312" w:cs="宋体"/>
                <w:bCs/>
                <w:color w:val="auto"/>
                <w:sz w:val="28"/>
                <w:szCs w:val="28"/>
                <w:highlight w:val="none"/>
              </w:rPr>
              <w:t>涧头集作业区至G206疏港公路</w:t>
            </w:r>
            <w:r>
              <w:rPr>
                <w:rFonts w:hint="eastAsia" w:ascii="仿宋_GB2312" w:hAnsi="宋体" w:eastAsia="仿宋_GB2312" w:cs="宋体"/>
                <w:bCs/>
                <w:color w:val="auto"/>
                <w:sz w:val="28"/>
                <w:szCs w:val="28"/>
                <w:highlight w:val="none"/>
                <w:lang w:eastAsia="zh-CN"/>
              </w:rPr>
              <w:t>。</w:t>
            </w:r>
          </w:p>
          <w:p w14:paraId="580E176C">
            <w:pPr>
              <w:keepNext w:val="0"/>
              <w:keepLines w:val="0"/>
              <w:pageBreakBefore w:val="0"/>
              <w:widowControl w:val="0"/>
              <w:kinsoku/>
              <w:wordWrap/>
              <w:overflowPunct/>
              <w:topLinePunct w:val="0"/>
              <w:autoSpaceDE/>
              <w:autoSpaceDN/>
              <w:bidi w:val="0"/>
              <w:adjustRightInd/>
              <w:snapToGrid/>
              <w:spacing w:line="600" w:lineRule="exact"/>
              <w:ind w:firstLine="562" w:firstLineChars="200"/>
              <w:textAlignment w:val="auto"/>
              <w:rPr>
                <w:rFonts w:hint="eastAsia"/>
                <w:color w:val="auto"/>
                <w:highlight w:val="none"/>
              </w:rPr>
            </w:pPr>
            <w:r>
              <w:rPr>
                <w:rFonts w:hint="eastAsia" w:ascii="仿宋_GB2312" w:hAnsi="宋体" w:eastAsia="仿宋_GB2312" w:cs="宋体"/>
                <w:b/>
                <w:bCs w:val="0"/>
                <w:color w:val="auto"/>
                <w:sz w:val="28"/>
                <w:szCs w:val="28"/>
                <w:highlight w:val="none"/>
              </w:rPr>
              <w:t>水利基础设施：</w:t>
            </w:r>
            <w:r>
              <w:rPr>
                <w:rFonts w:hint="eastAsia" w:ascii="仿宋_GB2312" w:hAnsi="宋体" w:eastAsia="仿宋_GB2312" w:cs="宋体"/>
                <w:bCs/>
                <w:color w:val="auto"/>
                <w:sz w:val="28"/>
                <w:szCs w:val="28"/>
                <w:highlight w:val="none"/>
              </w:rPr>
              <w:t>（1）排水防涝工程续建项目（2）韩庄运河北支流防洪排涝项目（3）城南水库建设项目（4）再生水利用项目（5）韩庄运河支流综合治理项目（</w:t>
            </w:r>
            <w:r>
              <w:rPr>
                <w:rFonts w:hint="eastAsia" w:ascii="仿宋_GB2312" w:hAnsi="宋体" w:eastAsia="仿宋_GB2312" w:cs="宋体"/>
                <w:bCs/>
                <w:color w:val="auto"/>
                <w:sz w:val="28"/>
                <w:szCs w:val="28"/>
                <w:highlight w:val="none"/>
                <w:lang w:val="en-US" w:eastAsia="zh-CN"/>
              </w:rPr>
              <w:t>6</w:t>
            </w:r>
            <w:r>
              <w:rPr>
                <w:rFonts w:hint="eastAsia" w:ascii="仿宋_GB2312" w:hAnsi="宋体" w:eastAsia="仿宋_GB2312" w:cs="宋体"/>
                <w:bCs/>
                <w:color w:val="auto"/>
                <w:sz w:val="28"/>
                <w:szCs w:val="28"/>
                <w:highlight w:val="none"/>
              </w:rPr>
              <w:t>）涧头集镇李山口项目区小流域水土流失治理项目（</w:t>
            </w:r>
            <w:r>
              <w:rPr>
                <w:rFonts w:hint="eastAsia" w:ascii="仿宋_GB2312" w:hAnsi="宋体" w:eastAsia="仿宋_GB2312" w:cs="宋体"/>
                <w:bCs/>
                <w:color w:val="auto"/>
                <w:sz w:val="28"/>
                <w:szCs w:val="28"/>
                <w:highlight w:val="none"/>
                <w:lang w:val="en-US" w:eastAsia="zh-CN"/>
              </w:rPr>
              <w:t>7</w:t>
            </w:r>
            <w:r>
              <w:rPr>
                <w:rFonts w:hint="eastAsia" w:ascii="仿宋_GB2312" w:hAnsi="宋体" w:eastAsia="仿宋_GB2312" w:cs="宋体"/>
                <w:bCs/>
                <w:color w:val="auto"/>
                <w:sz w:val="28"/>
                <w:szCs w:val="28"/>
                <w:highlight w:val="none"/>
              </w:rPr>
              <w:t>）农村供水保障提升工程（</w:t>
            </w:r>
            <w:r>
              <w:rPr>
                <w:rFonts w:hint="eastAsia" w:ascii="仿宋_GB2312" w:hAnsi="宋体" w:eastAsia="仿宋_GB2312" w:cs="宋体"/>
                <w:bCs/>
                <w:color w:val="auto"/>
                <w:sz w:val="28"/>
                <w:szCs w:val="28"/>
                <w:highlight w:val="none"/>
                <w:lang w:val="en-US" w:eastAsia="zh-CN"/>
              </w:rPr>
              <w:t>8</w:t>
            </w:r>
            <w:r>
              <w:rPr>
                <w:rFonts w:hint="eastAsia" w:ascii="仿宋_GB2312" w:hAnsi="宋体" w:eastAsia="仿宋_GB2312" w:cs="宋体"/>
                <w:bCs/>
                <w:color w:val="auto"/>
                <w:sz w:val="28"/>
                <w:szCs w:val="28"/>
                <w:highlight w:val="none"/>
              </w:rPr>
              <w:t>）于沟河农村水系综合整治工程（</w:t>
            </w:r>
            <w:r>
              <w:rPr>
                <w:rFonts w:hint="eastAsia" w:ascii="仿宋_GB2312" w:hAnsi="宋体" w:eastAsia="仿宋_GB2312" w:cs="宋体"/>
                <w:bCs/>
                <w:color w:val="auto"/>
                <w:sz w:val="28"/>
                <w:szCs w:val="28"/>
                <w:highlight w:val="none"/>
                <w:lang w:val="en-US" w:eastAsia="zh-CN"/>
              </w:rPr>
              <w:t>9</w:t>
            </w:r>
            <w:r>
              <w:rPr>
                <w:rFonts w:hint="eastAsia" w:ascii="仿宋_GB2312" w:hAnsi="宋体" w:eastAsia="仿宋_GB2312" w:cs="宋体"/>
                <w:bCs/>
                <w:color w:val="auto"/>
                <w:sz w:val="28"/>
                <w:szCs w:val="28"/>
                <w:highlight w:val="none"/>
              </w:rPr>
              <w:t>）韩庄运河百年一遇提标工程（1</w:t>
            </w:r>
            <w:r>
              <w:rPr>
                <w:rFonts w:hint="eastAsia" w:ascii="仿宋_GB2312" w:hAnsi="宋体" w:eastAsia="仿宋_GB2312" w:cs="宋体"/>
                <w:bCs/>
                <w:color w:val="auto"/>
                <w:sz w:val="28"/>
                <w:szCs w:val="28"/>
                <w:highlight w:val="none"/>
                <w:lang w:val="en-US" w:eastAsia="zh-CN"/>
              </w:rPr>
              <w:t>0</w:t>
            </w:r>
            <w:r>
              <w:rPr>
                <w:rFonts w:hint="eastAsia" w:ascii="仿宋_GB2312" w:hAnsi="宋体" w:eastAsia="仿宋_GB2312" w:cs="宋体"/>
                <w:bCs/>
                <w:color w:val="auto"/>
                <w:sz w:val="28"/>
                <w:szCs w:val="28"/>
                <w:highlight w:val="none"/>
              </w:rPr>
              <w:t>）东北部城区及高铁片区供水管网建设项目（1</w:t>
            </w:r>
            <w:r>
              <w:rPr>
                <w:rFonts w:hint="eastAsia" w:ascii="仿宋_GB2312" w:hAnsi="宋体" w:eastAsia="仿宋_GB2312" w:cs="宋体"/>
                <w:bCs/>
                <w:color w:val="auto"/>
                <w:sz w:val="28"/>
                <w:szCs w:val="28"/>
                <w:highlight w:val="none"/>
                <w:lang w:val="en-US" w:eastAsia="zh-CN"/>
              </w:rPr>
              <w:t>1</w:t>
            </w:r>
            <w:r>
              <w:rPr>
                <w:rFonts w:hint="eastAsia" w:ascii="仿宋_GB2312" w:hAnsi="宋体" w:eastAsia="仿宋_GB2312" w:cs="宋体"/>
                <w:bCs/>
                <w:color w:val="auto"/>
                <w:sz w:val="28"/>
                <w:szCs w:val="28"/>
                <w:highlight w:val="none"/>
              </w:rPr>
              <w:t>）城区污水管网建设工程（1</w:t>
            </w:r>
            <w:r>
              <w:rPr>
                <w:rFonts w:hint="eastAsia" w:ascii="仿宋_GB2312" w:hAnsi="宋体" w:eastAsia="仿宋_GB2312" w:cs="宋体"/>
                <w:bCs/>
                <w:color w:val="auto"/>
                <w:sz w:val="28"/>
                <w:szCs w:val="28"/>
                <w:highlight w:val="none"/>
                <w:lang w:val="en-US" w:eastAsia="zh-CN"/>
              </w:rPr>
              <w:t>2</w:t>
            </w:r>
            <w:r>
              <w:rPr>
                <w:rFonts w:hint="eastAsia" w:ascii="仿宋_GB2312" w:hAnsi="宋体" w:eastAsia="仿宋_GB2312" w:cs="宋体"/>
                <w:bCs/>
                <w:color w:val="auto"/>
                <w:sz w:val="28"/>
                <w:szCs w:val="28"/>
                <w:highlight w:val="none"/>
              </w:rPr>
              <w:t>）枣庄市台儿庄区城市排水防涝提升工程</w:t>
            </w:r>
            <w:r>
              <w:rPr>
                <w:rFonts w:hint="eastAsia" w:ascii="仿宋_GB2312" w:hAnsi="宋体" w:eastAsia="仿宋_GB2312" w:cs="宋体"/>
                <w:bCs/>
                <w:color w:val="auto"/>
                <w:sz w:val="28"/>
                <w:szCs w:val="28"/>
                <w:highlight w:val="none"/>
                <w:lang w:eastAsia="zh-CN"/>
              </w:rPr>
              <w:t>（</w:t>
            </w:r>
            <w:r>
              <w:rPr>
                <w:rFonts w:hint="eastAsia" w:ascii="仿宋_GB2312" w:hAnsi="宋体" w:eastAsia="仿宋_GB2312" w:cs="宋体"/>
                <w:bCs/>
                <w:color w:val="auto"/>
                <w:sz w:val="28"/>
                <w:szCs w:val="28"/>
                <w:highlight w:val="none"/>
                <w:lang w:val="en-US" w:eastAsia="zh-CN"/>
              </w:rPr>
              <w:t>13</w:t>
            </w:r>
            <w:r>
              <w:rPr>
                <w:rFonts w:hint="eastAsia" w:ascii="仿宋_GB2312" w:hAnsi="宋体" w:eastAsia="仿宋_GB2312" w:cs="宋体"/>
                <w:bCs/>
                <w:color w:val="auto"/>
                <w:sz w:val="28"/>
                <w:szCs w:val="28"/>
                <w:highlight w:val="none"/>
                <w:lang w:eastAsia="zh-CN"/>
              </w:rPr>
              <w:t>）</w:t>
            </w:r>
            <w:r>
              <w:rPr>
                <w:rFonts w:hint="eastAsia" w:ascii="仿宋_GB2312" w:hAnsi="宋体" w:eastAsia="仿宋_GB2312" w:cs="宋体"/>
                <w:bCs/>
                <w:color w:val="auto"/>
                <w:sz w:val="28"/>
                <w:szCs w:val="28"/>
                <w:highlight w:val="none"/>
              </w:rPr>
              <w:t>台儿庄区再生水泵站及管网建设项目</w:t>
            </w:r>
            <w:r>
              <w:rPr>
                <w:rFonts w:hint="eastAsia" w:ascii="仿宋_GB2312" w:hAnsi="宋体" w:eastAsia="仿宋_GB2312" w:cs="宋体"/>
                <w:bCs/>
                <w:color w:val="auto"/>
                <w:sz w:val="28"/>
                <w:szCs w:val="28"/>
                <w:highlight w:val="none"/>
                <w:lang w:eastAsia="zh-CN"/>
              </w:rPr>
              <w:t>（</w:t>
            </w:r>
            <w:r>
              <w:rPr>
                <w:rFonts w:hint="eastAsia" w:ascii="仿宋_GB2312" w:hAnsi="宋体" w:eastAsia="仿宋_GB2312" w:cs="宋体"/>
                <w:bCs/>
                <w:color w:val="auto"/>
                <w:sz w:val="28"/>
                <w:szCs w:val="28"/>
                <w:highlight w:val="none"/>
                <w:lang w:val="en-US" w:eastAsia="zh-CN"/>
              </w:rPr>
              <w:t>14</w:t>
            </w:r>
            <w:r>
              <w:rPr>
                <w:rFonts w:hint="eastAsia" w:ascii="仿宋_GB2312" w:hAnsi="宋体" w:eastAsia="仿宋_GB2312" w:cs="宋体"/>
                <w:bCs/>
                <w:color w:val="auto"/>
                <w:sz w:val="28"/>
                <w:szCs w:val="28"/>
                <w:highlight w:val="none"/>
                <w:lang w:eastAsia="zh-CN"/>
              </w:rPr>
              <w:t>）</w:t>
            </w:r>
            <w:r>
              <w:rPr>
                <w:rFonts w:hint="eastAsia" w:ascii="仿宋_GB2312" w:hAnsi="宋体" w:eastAsia="仿宋_GB2312" w:cs="宋体"/>
                <w:bCs/>
                <w:color w:val="auto"/>
                <w:sz w:val="28"/>
                <w:szCs w:val="28"/>
                <w:highlight w:val="none"/>
              </w:rPr>
              <w:t>台儿庄区污水管网建设工程。</w:t>
            </w:r>
          </w:p>
        </w:tc>
      </w:tr>
    </w:tbl>
    <w:p w14:paraId="11674293">
      <w:pPr>
        <w:pStyle w:val="12"/>
        <w:adjustRightInd w:val="0"/>
        <w:snapToGrid w:val="0"/>
        <w:spacing w:line="600" w:lineRule="exact"/>
        <w:ind w:firstLine="640" w:firstLineChars="200"/>
        <w:rPr>
          <w:rFonts w:hint="eastAsia" w:ascii="仿宋_GB2312" w:hAnsi="宋体" w:eastAsia="仿宋_GB2312"/>
          <w:color w:val="auto"/>
          <w:sz w:val="32"/>
          <w:szCs w:val="32"/>
          <w:highlight w:val="none"/>
        </w:rPr>
      </w:pPr>
    </w:p>
    <w:p w14:paraId="51AE3FDD">
      <w:pPr>
        <w:pStyle w:val="5"/>
        <w:adjustRightInd w:val="0"/>
        <w:snapToGrid w:val="0"/>
        <w:spacing w:before="240" w:after="240" w:line="600" w:lineRule="exact"/>
        <w:jc w:val="center"/>
        <w:rPr>
          <w:rFonts w:hint="eastAsia" w:ascii="黑体" w:hAnsi="黑体" w:eastAsia="黑体"/>
          <w:b w:val="0"/>
          <w:bCs w:val="0"/>
          <w:color w:val="auto"/>
          <w:sz w:val="32"/>
          <w:szCs w:val="32"/>
          <w:highlight w:val="none"/>
        </w:rPr>
        <w:sectPr>
          <w:footnotePr>
            <w:numFmt w:val="decimalEnclosedCircleChinese"/>
            <w:numRestart w:val="eachPage"/>
          </w:footnotePr>
          <w:pgSz w:w="11906" w:h="16838"/>
          <w:pgMar w:top="1984" w:right="1587" w:bottom="1701" w:left="1587" w:header="851" w:footer="1134" w:gutter="0"/>
          <w:pgNumType w:fmt="numberInDash"/>
          <w:cols w:space="720" w:num="1"/>
          <w:docGrid w:type="lines" w:linePitch="312" w:charSpace="0"/>
        </w:sectPr>
      </w:pPr>
    </w:p>
    <w:p w14:paraId="790537DC">
      <w:pPr>
        <w:pStyle w:val="5"/>
        <w:keepNext/>
        <w:keepLines/>
        <w:pageBreakBefore w:val="0"/>
        <w:widowControl w:val="0"/>
        <w:kinsoku/>
        <w:wordWrap/>
        <w:overflowPunct/>
        <w:topLinePunct w:val="0"/>
        <w:autoSpaceDE/>
        <w:autoSpaceDN/>
        <w:bidi w:val="0"/>
        <w:adjustRightInd w:val="0"/>
        <w:snapToGrid w:val="0"/>
        <w:spacing w:before="157" w:beforeLines="50" w:after="157" w:afterLines="50" w:line="600" w:lineRule="exact"/>
        <w:jc w:val="center"/>
        <w:textAlignment w:val="auto"/>
        <w:rPr>
          <w:rFonts w:ascii="黑体" w:hAnsi="黑体" w:eastAsia="黑体"/>
          <w:b w:val="0"/>
          <w:bCs w:val="0"/>
          <w:color w:val="auto"/>
          <w:sz w:val="32"/>
          <w:szCs w:val="32"/>
          <w:highlight w:val="none"/>
        </w:rPr>
      </w:pPr>
      <w:bookmarkStart w:id="25" w:name="_Toc5673"/>
      <w:r>
        <w:rPr>
          <w:rFonts w:hint="eastAsia" w:ascii="黑体" w:hAnsi="黑体" w:eastAsia="黑体"/>
          <w:b w:val="0"/>
          <w:bCs w:val="0"/>
          <w:color w:val="auto"/>
          <w:sz w:val="32"/>
          <w:szCs w:val="32"/>
          <w:highlight w:val="none"/>
        </w:rPr>
        <w:t>第五章 突出城市高质量发展，建设现代化人民城市</w:t>
      </w:r>
      <w:bookmarkEnd w:id="25"/>
    </w:p>
    <w:p w14:paraId="231E331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以推动城市高质量发展为主题，以推进城市更新为重要抓手，围绕“产、城、人、文”四个融合，大力推动城市结构优化、品质提升、绿色转型、文脉赓续，推动综合能级、城市能级、服务能级迈上新台阶，彰显“江北水乡、运河古城”城市特色。</w:t>
      </w:r>
    </w:p>
    <w:p w14:paraId="4A90A7EB">
      <w:pPr>
        <w:pStyle w:val="6"/>
        <w:pageBreakBefore w:val="0"/>
        <w:widowControl w:val="0"/>
        <w:kinsoku/>
        <w:wordWrap/>
        <w:overflowPunct/>
        <w:topLinePunct w:val="0"/>
        <w:autoSpaceDE/>
        <w:autoSpaceDN/>
        <w:bidi w:val="0"/>
        <w:spacing w:line="600" w:lineRule="exact"/>
        <w:textAlignment w:val="auto"/>
        <w:rPr>
          <w:rFonts w:hint="eastAsia"/>
          <w:color w:val="auto"/>
          <w:highlight w:val="none"/>
        </w:rPr>
      </w:pPr>
      <w:bookmarkStart w:id="26" w:name="_Toc8836"/>
      <w:r>
        <w:rPr>
          <w:rFonts w:hint="eastAsia"/>
          <w:color w:val="auto"/>
          <w:highlight w:val="none"/>
        </w:rPr>
        <w:t>第一节 做大做强中心城区</w:t>
      </w:r>
      <w:bookmarkEnd w:id="26"/>
    </w:p>
    <w:p w14:paraId="44456AA8">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优化城区空间布局。</w:t>
      </w:r>
      <w:r>
        <w:rPr>
          <w:rFonts w:hint="eastAsia" w:ascii="仿宋_GB2312" w:hAnsi="仿宋_GB2312" w:eastAsia="仿宋_GB2312" w:cs="仿宋_GB2312"/>
          <w:color w:val="auto"/>
          <w:sz w:val="32"/>
          <w:szCs w:val="32"/>
          <w:highlight w:val="none"/>
        </w:rPr>
        <w:t>坚持城市内涵式发展，实施城市“北进、西扩、南疏、东提”</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动态优化基础设施布局、公共服务供给，提升</w:t>
      </w:r>
      <w:r>
        <w:rPr>
          <w:rFonts w:ascii="仿宋_GB2312" w:hAnsi="仿宋_GB2312" w:eastAsia="仿宋_GB2312" w:cs="仿宋_GB2312"/>
          <w:color w:val="auto"/>
          <w:sz w:val="32"/>
          <w:szCs w:val="32"/>
          <w:highlight w:val="none"/>
        </w:rPr>
        <w:t>综合承载能力。</w:t>
      </w:r>
      <w:r>
        <w:rPr>
          <w:rFonts w:hint="eastAsia" w:ascii="仿宋_GB2312" w:hAnsi="仿宋_GB2312" w:eastAsia="仿宋_GB2312" w:cs="仿宋_GB2312"/>
          <w:color w:val="auto"/>
          <w:sz w:val="32"/>
          <w:szCs w:val="32"/>
          <w:highlight w:val="none"/>
        </w:rPr>
        <w:t>北进，建设高铁新区。以台儿庄高铁站为核心，打造以交通支撑为引领，集产业创新、商贸休闲、旅游集散于一体的高铁商圈。同步推进基础设施与产业导入，培育商务、休闲、文创等功能，建设特色活力新区。西扩，强化产城互促。实施</w:t>
      </w:r>
      <w:r>
        <w:rPr>
          <w:rFonts w:hint="eastAsia" w:ascii="仿宋_GB2312" w:hAnsi="仿宋_GB2312" w:eastAsia="仿宋_GB2312" w:cs="仿宋_GB2312"/>
          <w:color w:val="auto"/>
          <w:sz w:val="32"/>
          <w:szCs w:val="32"/>
          <w:highlight w:val="none"/>
          <w:lang w:val="en-US" w:eastAsia="zh-CN"/>
        </w:rPr>
        <w:t>经济</w:t>
      </w:r>
      <w:r>
        <w:rPr>
          <w:rFonts w:hint="eastAsia" w:ascii="仿宋_GB2312" w:hAnsi="仿宋_GB2312" w:eastAsia="仿宋_GB2312" w:cs="仿宋_GB2312"/>
          <w:color w:val="auto"/>
          <w:sz w:val="32"/>
          <w:szCs w:val="32"/>
          <w:highlight w:val="none"/>
        </w:rPr>
        <w:t>开发区扩区调区，完善基础设施，强化产城一体、共融共促，拓展城市发展空间。突出临城、临园、临港发展定位，加快马兰屯小城镇建设，着力提升城镇服务功能，建设城区西扩“次中心”。南疏，加快城旅融合。以台儿庄古城为中心，实施周边片区适旅化改造，逐步外疏古城周边非旅游功能，促进城旅融合配套，高效承接古城溢出效应。东提，彰显生态特色。保护利用沧浪河、涛沟河湿地资源，优化运河湿地公园边界，打造14公里绿道慢行环线，提升沿线生态环境，建设城市生态家园。</w:t>
      </w:r>
    </w:p>
    <w:p w14:paraId="61FE7161">
      <w:pPr>
        <w:pStyle w:val="12"/>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宋体" w:eastAsia="仿宋_GB2312"/>
          <w:b/>
          <w:bCs/>
          <w:color w:val="auto"/>
          <w:sz w:val="32"/>
          <w:szCs w:val="32"/>
          <w:highlight w:val="none"/>
        </w:rPr>
        <w:t>有序推进城市更新。</w:t>
      </w:r>
      <w:r>
        <w:rPr>
          <w:rFonts w:hint="eastAsia" w:ascii="仿宋_GB2312" w:hAnsi="宋体" w:eastAsia="仿宋_GB2312"/>
          <w:color w:val="auto"/>
          <w:sz w:val="32"/>
          <w:szCs w:val="32"/>
          <w:highlight w:val="none"/>
        </w:rPr>
        <w:t>沿城市水脉开发建设文旅、商业、地产项目，建成科技馆、全民健身中心，打造游客、居民共享的高品质城市空间。</w:t>
      </w:r>
      <w:r>
        <w:rPr>
          <w:rFonts w:hint="eastAsia" w:ascii="仿宋_GB2312" w:hAnsi="仿宋_GB2312" w:eastAsia="仿宋_GB2312" w:cs="仿宋_GB2312"/>
          <w:color w:val="auto"/>
          <w:sz w:val="32"/>
          <w:szCs w:val="32"/>
          <w:highlight w:val="none"/>
        </w:rPr>
        <w:t>按照“无体检不更新”要求，</w:t>
      </w:r>
      <w:r>
        <w:rPr>
          <w:rFonts w:hint="eastAsia" w:ascii="仿宋_GB2312" w:hAnsi="宋体" w:eastAsia="仿宋_GB2312"/>
          <w:color w:val="auto"/>
          <w:sz w:val="32"/>
          <w:szCs w:val="32"/>
          <w:highlight w:val="none"/>
        </w:rPr>
        <w:t>一体化推进城市体检和城市更新，创造宜业、宜居、宜乐、宜游的良好城市环境。以“更新片区+重点项目”双推进模式，统筹实施三旧项目改造、公共空间和公共服务设施系统提升、城市安全韧性设施建设、历史文化保护传承、绿色智慧更新等“五大工程”</w:t>
      </w:r>
      <w:r>
        <w:rPr>
          <w:rFonts w:hint="eastAsia" w:ascii="仿宋_GB2312" w:hAnsi="宋体" w:eastAsia="仿宋_GB2312"/>
          <w:color w:val="auto"/>
          <w:sz w:val="32"/>
          <w:szCs w:val="32"/>
          <w:highlight w:val="none"/>
          <w:lang w:eastAsia="zh-CN"/>
        </w:rPr>
        <w:t>。</w:t>
      </w:r>
      <w:r>
        <w:rPr>
          <w:rFonts w:hint="eastAsia" w:ascii="仿宋_GB2312" w:hAnsi="仿宋" w:eastAsia="仿宋_GB2312"/>
          <w:color w:val="auto"/>
          <w:sz w:val="32"/>
          <w:szCs w:val="32"/>
          <w:highlight w:val="none"/>
        </w:rPr>
        <w:t>分批</w:t>
      </w:r>
      <w:r>
        <w:rPr>
          <w:rFonts w:hint="eastAsia" w:ascii="仿宋_GB2312" w:hAnsi="仿宋_GB2312" w:eastAsia="仿宋_GB2312" w:cs="仿宋_GB2312"/>
          <w:color w:val="auto"/>
          <w:kern w:val="0"/>
          <w:sz w:val="32"/>
          <w:szCs w:val="32"/>
          <w:highlight w:val="none"/>
        </w:rPr>
        <w:t>分期实施城中村改造，</w:t>
      </w:r>
      <w:r>
        <w:rPr>
          <w:rFonts w:ascii="仿宋_GB2312" w:hAnsi="仿宋_GB2312" w:eastAsia="仿宋_GB2312" w:cs="仿宋_GB2312"/>
          <w:color w:val="auto"/>
          <w:kern w:val="0"/>
          <w:sz w:val="32"/>
          <w:szCs w:val="32"/>
          <w:highlight w:val="none"/>
        </w:rPr>
        <w:t>重点推动</w:t>
      </w:r>
      <w:r>
        <w:rPr>
          <w:rFonts w:hint="eastAsia" w:ascii="仿宋_GB2312" w:hAnsi="仿宋_GB2312" w:eastAsia="仿宋_GB2312" w:cs="仿宋_GB2312"/>
          <w:color w:val="auto"/>
          <w:kern w:val="0"/>
          <w:sz w:val="32"/>
          <w:szCs w:val="32"/>
          <w:highlight w:val="none"/>
        </w:rPr>
        <w:t>东北部片区官庄村</w:t>
      </w:r>
      <w:r>
        <w:rPr>
          <w:rFonts w:hint="eastAsia" w:ascii="仿宋_GB2312" w:hAnsi="仿宋_GB2312" w:eastAsia="仿宋_GB2312" w:cs="仿宋_GB2312"/>
          <w:color w:val="auto"/>
          <w:kern w:val="0"/>
          <w:sz w:val="32"/>
          <w:szCs w:val="32"/>
          <w:highlight w:val="none"/>
          <w:lang w:eastAsia="zh-CN"/>
        </w:rPr>
        <w:t>、云河片区</w:t>
      </w:r>
      <w:r>
        <w:rPr>
          <w:rFonts w:hint="eastAsia" w:ascii="仿宋_GB2312" w:hAnsi="仿宋_GB2312" w:eastAsia="仿宋_GB2312" w:cs="仿宋_GB2312"/>
          <w:color w:val="auto"/>
          <w:kern w:val="0"/>
          <w:sz w:val="32"/>
          <w:szCs w:val="32"/>
          <w:highlight w:val="none"/>
          <w:lang w:val="en-US" w:eastAsia="zh-CN"/>
        </w:rPr>
        <w:t>等</w:t>
      </w:r>
      <w:r>
        <w:rPr>
          <w:rFonts w:hint="eastAsia" w:ascii="仿宋_GB2312" w:hAnsi="仿宋_GB2312" w:eastAsia="仿宋_GB2312" w:cs="仿宋_GB2312"/>
          <w:color w:val="auto"/>
          <w:kern w:val="0"/>
          <w:sz w:val="32"/>
          <w:szCs w:val="32"/>
          <w:highlight w:val="none"/>
        </w:rPr>
        <w:t>城中村改造。大力推进</w:t>
      </w:r>
      <w:r>
        <w:rPr>
          <w:rFonts w:hint="eastAsia" w:ascii="仿宋_GB2312" w:hAnsi="仿宋_GB2312" w:eastAsia="仿宋_GB2312" w:cs="仿宋_GB2312"/>
          <w:color w:val="auto"/>
          <w:kern w:val="0"/>
          <w:sz w:val="32"/>
          <w:szCs w:val="32"/>
          <w:highlight w:val="none"/>
          <w:lang w:eastAsia="zh-CN"/>
        </w:rPr>
        <w:t>“好房子”建设</w:t>
      </w:r>
      <w:r>
        <w:rPr>
          <w:rFonts w:hint="eastAsia" w:ascii="仿宋_GB2312" w:hAnsi="仿宋_GB2312" w:eastAsia="仿宋_GB2312" w:cs="仿宋_GB2312"/>
          <w:color w:val="auto"/>
          <w:kern w:val="0"/>
          <w:sz w:val="32"/>
          <w:szCs w:val="32"/>
          <w:highlight w:val="none"/>
        </w:rPr>
        <w:t>，全链条提升住房设计、建造、维护、服务水平，更好满足群众刚性和多样化改善性住房需求。开展完整社区建设试点，完善城市社区嵌入式服务设施，打造一刻钟便民服务圈。</w:t>
      </w:r>
      <w:r>
        <w:rPr>
          <w:rFonts w:hint="eastAsia" w:ascii="仿宋_GB2312" w:hAnsi="仿宋_GB2312" w:eastAsia="仿宋_GB2312" w:cs="仿宋_GB2312"/>
          <w:color w:val="auto"/>
          <w:sz w:val="32"/>
          <w:szCs w:val="32"/>
          <w:highlight w:val="none"/>
        </w:rPr>
        <w:t>系统化推进停车设施建设与管理智能化，通过新建、盘活、共享等多渠道增加停车供给，运用智慧化手段提高泊位利用效率</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探索创新城市更新可持续实施模式，建立政府、企业、产权人、群众等多主体参与的机制，助推造纸产业园等中心城区内产业搬迁</w:t>
      </w:r>
      <w:r>
        <w:rPr>
          <w:rFonts w:hint="eastAsia" w:ascii="仿宋_GB2312" w:hAnsi="仿宋_GB2312" w:eastAsia="仿宋_GB2312" w:cs="仿宋_GB2312"/>
          <w:color w:val="auto"/>
          <w:sz w:val="32"/>
          <w:szCs w:val="32"/>
          <w:highlight w:val="none"/>
          <w:lang w:eastAsia="zh-CN"/>
        </w:rPr>
        <w:t>。</w:t>
      </w:r>
    </w:p>
    <w:p w14:paraId="132EA8EB">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bCs/>
          <w:color w:val="auto"/>
          <w:sz w:val="32"/>
          <w:szCs w:val="32"/>
          <w:highlight w:val="none"/>
        </w:rPr>
        <w:t>塑造城市特色风貌。</w:t>
      </w:r>
      <w:r>
        <w:rPr>
          <w:rFonts w:hint="eastAsia" w:ascii="仿宋_GB2312" w:hAnsi="仿宋_GB2312" w:eastAsia="仿宋_GB2312" w:cs="仿宋_GB2312"/>
          <w:b w:val="0"/>
          <w:bCs w:val="0"/>
          <w:color w:val="auto"/>
          <w:sz w:val="32"/>
          <w:szCs w:val="32"/>
          <w:highlight w:val="none"/>
        </w:rPr>
        <w:t>结合台儿庄大战文化、运河文化、鲁南风俗等本地特色，遵循“森林运动、生态观光、文化体验、科普教育”设计思路，围绕“水美台儿庄”品质提升工程，以兰祺河为中轴，串联台儿庄古城文化资源，打造“三区一环一带”城市景观。实施古城缓冲区风貌管控，整治提升周边街区环境，确保新旧建筑和谐共生，同步打造水清岸绿景美的运河风光带，实现古城保护从“点”到“面”的升华。探索“公园+文化”“绿地+服务”新模式，创新“公园+课堂”“公园+健身”“公园+文化”等</w:t>
      </w:r>
      <w:r>
        <w:rPr>
          <w:rFonts w:hint="eastAsia" w:ascii="仿宋_GB2312" w:hAnsi="仿宋_GB2312" w:eastAsia="仿宋_GB2312" w:cs="仿宋_GB2312"/>
          <w:b w:val="0"/>
          <w:bCs w:val="0"/>
          <w:strike w:val="0"/>
          <w:dstrike w:val="0"/>
          <w:color w:val="auto"/>
          <w:sz w:val="32"/>
          <w:szCs w:val="32"/>
          <w:highlight w:val="none"/>
        </w:rPr>
        <w:t>“公园+”</w:t>
      </w:r>
      <w:r>
        <w:rPr>
          <w:rFonts w:hint="eastAsia" w:ascii="仿宋_GB2312" w:hAnsi="仿宋_GB2312" w:eastAsia="仿宋_GB2312" w:cs="仿宋_GB2312"/>
          <w:b w:val="0"/>
          <w:bCs w:val="0"/>
          <w:color w:val="auto"/>
          <w:sz w:val="32"/>
          <w:szCs w:val="32"/>
          <w:highlight w:val="none"/>
        </w:rPr>
        <w:t>丰富多元的游憩体验，让更多城市“金角银边”变身群众“幸福港湾”，打造“园中建城、城中有园、城园相融”的城市新格局。按照“一园一主题，一园一风格”要求，加强儿童游乐、运动健身、休闲娱乐、自然科普等公园绿地空间、场地和设施的配套建设，满足不同群体需求。探索引入市场化运营模式，探索公园园长制，提高公园服务质量和效率</w:t>
      </w:r>
      <w:r>
        <w:rPr>
          <w:rFonts w:hint="eastAsia" w:ascii="仿宋_GB2312" w:hAnsi="仿宋_GB2312" w:eastAsia="仿宋_GB2312" w:cs="仿宋_GB2312"/>
          <w:color w:val="auto"/>
          <w:sz w:val="32"/>
          <w:szCs w:val="32"/>
          <w:highlight w:val="none"/>
          <w:lang w:eastAsia="zh-CN"/>
        </w:rPr>
        <w:t>。</w:t>
      </w:r>
    </w:p>
    <w:p w14:paraId="542D0F5C">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b/>
          <w:bCs/>
          <w:color w:val="auto"/>
          <w:sz w:val="32"/>
          <w:szCs w:val="32"/>
          <w:highlight w:val="none"/>
        </w:rPr>
        <w:t>完善市政基础设施。</w:t>
      </w:r>
      <w:r>
        <w:rPr>
          <w:rFonts w:hint="eastAsia" w:ascii="仿宋_GB2312" w:hAnsi="仿宋_GB2312" w:eastAsia="仿宋_GB2312" w:cs="仿宋_GB2312"/>
          <w:color w:val="auto"/>
          <w:sz w:val="32"/>
          <w:szCs w:val="32"/>
          <w:highlight w:val="none"/>
          <w:lang w:val="en-US" w:eastAsia="zh-CN"/>
        </w:rPr>
        <w:t>完善城市水网水系，以“一纵”（兰祺河）、“一横”（月河、沧浪河）城市水系景观轴为重点，建设“水美台儿庄”品质提升工程，开通兰祺河、沧浪河等水上公交、水上观光航线，贯联高铁站、台儿庄古城、沧浪河水上乐园，实现“水脉连景、景融全城”。</w:t>
      </w:r>
      <w:r>
        <w:rPr>
          <w:rFonts w:hint="eastAsia" w:ascii="仿宋_GB2312" w:hAnsi="仿宋_GB2312" w:eastAsia="仿宋_GB2312" w:cs="仿宋_GB2312"/>
          <w:color w:val="auto"/>
          <w:sz w:val="32"/>
          <w:szCs w:val="32"/>
          <w:highlight w:val="none"/>
        </w:rPr>
        <w:t>完善城市路网体系，结合高铁新区建设，搭建“三纵三横”路网框架，适时推进箭道路、兴中路、桃园路北延和台中路、玉兰路、台北路东延。结合</w:t>
      </w:r>
      <w:r>
        <w:rPr>
          <w:rFonts w:hint="eastAsia" w:ascii="仿宋_GB2312" w:hAnsi="仿宋_GB2312" w:eastAsia="仿宋_GB2312" w:cs="仿宋_GB2312"/>
          <w:color w:val="auto"/>
          <w:sz w:val="32"/>
          <w:szCs w:val="32"/>
          <w:highlight w:val="none"/>
          <w:lang w:val="en-US" w:eastAsia="zh-CN"/>
        </w:rPr>
        <w:t>经济</w:t>
      </w:r>
      <w:r>
        <w:rPr>
          <w:rFonts w:hint="eastAsia" w:ascii="仿宋_GB2312" w:hAnsi="仿宋_GB2312" w:eastAsia="仿宋_GB2312" w:cs="仿宋_GB2312"/>
          <w:color w:val="auto"/>
          <w:sz w:val="32"/>
          <w:szCs w:val="32"/>
          <w:highlight w:val="none"/>
        </w:rPr>
        <w:t>开发区建设，实施台北路西延，改造提升阿里山西路、日月潭西路、泥薛路。打通嘉义路、凤林路等城区断头路，畅通城市“微循环”。强化燃热基础设施建设，</w:t>
      </w:r>
      <w:r>
        <w:rPr>
          <w:rFonts w:hint="eastAsia" w:ascii="仿宋_GB2312" w:eastAsia="仿宋_GB2312"/>
          <w:color w:val="auto"/>
          <w:sz w:val="32"/>
          <w:szCs w:val="32"/>
          <w:highlight w:val="none"/>
        </w:rPr>
        <w:t>实施供热管网新建及改造工程，提升城区供热服务能力与覆盖范围，到2030年新增供热面积40万平方米。推进燃气管道更新改造，加强</w:t>
      </w:r>
      <w:r>
        <w:rPr>
          <w:rFonts w:hint="eastAsia" w:ascii="仿宋_GB2312" w:eastAsia="仿宋_GB2312"/>
          <w:color w:val="auto"/>
          <w:sz w:val="32"/>
          <w:szCs w:val="32"/>
          <w:highlight w:val="none"/>
          <w:lang w:eastAsia="zh-CN"/>
        </w:rPr>
        <w:t>马兰屯</w:t>
      </w:r>
      <w:r>
        <w:rPr>
          <w:rFonts w:hint="eastAsia" w:ascii="仿宋_GB2312" w:eastAsia="仿宋_GB2312"/>
          <w:color w:val="auto"/>
          <w:sz w:val="32"/>
          <w:szCs w:val="32"/>
          <w:highlight w:val="none"/>
          <w:lang w:val="en-US" w:eastAsia="zh-CN"/>
        </w:rPr>
        <w:t>-</w:t>
      </w:r>
      <w:r>
        <w:rPr>
          <w:rFonts w:hint="eastAsia" w:ascii="仿宋_GB2312" w:eastAsia="仿宋_GB2312"/>
          <w:color w:val="auto"/>
          <w:sz w:val="32"/>
          <w:szCs w:val="32"/>
          <w:highlight w:val="none"/>
        </w:rPr>
        <w:t>涧头集管线建设。有序推进城市地下管网及综合管廊建设。</w:t>
      </w:r>
      <w:r>
        <w:rPr>
          <w:rFonts w:hint="eastAsia" w:ascii="仿宋_GB2312" w:hAnsi="仿宋_GB2312" w:eastAsia="仿宋_GB2312" w:cs="仿宋_GB2312"/>
          <w:color w:val="auto"/>
          <w:kern w:val="0"/>
          <w:sz w:val="32"/>
          <w:szCs w:val="32"/>
          <w:highlight w:val="none"/>
        </w:rPr>
        <w:t>加强城区外围和新建居民区公厕建设，</w:t>
      </w:r>
      <w:r>
        <w:rPr>
          <w:rFonts w:hint="eastAsia" w:ascii="仿宋_GB2312" w:eastAsia="仿宋_GB2312"/>
          <w:color w:val="auto"/>
          <w:sz w:val="32"/>
          <w:szCs w:val="32"/>
          <w:highlight w:val="none"/>
        </w:rPr>
        <w:t>提升公厕管理、维护、保洁力度。</w:t>
      </w:r>
      <w:r>
        <w:rPr>
          <w:rFonts w:hint="default" w:ascii="仿宋_GB2312" w:hAnsi="仿宋_GB2312" w:eastAsia="仿宋_GB2312" w:cs="仿宋_GB2312"/>
          <w:color w:val="auto"/>
          <w:kern w:val="0"/>
          <w:sz w:val="32"/>
          <w:szCs w:val="32"/>
          <w:highlight w:val="none"/>
          <w:lang w:val="en-US" w:eastAsia="zh-CN" w:bidi="ar-SA"/>
        </w:rPr>
        <w:t>精细化打造体现地域文化的城市公共空间与景观设施</w:t>
      </w:r>
      <w:r>
        <w:rPr>
          <w:rFonts w:hint="eastAsia" w:ascii="仿宋_GB2312" w:hAnsi="仿宋_GB2312" w:eastAsia="仿宋_GB2312" w:cs="仿宋_GB2312"/>
          <w:color w:val="auto"/>
          <w:kern w:val="0"/>
          <w:sz w:val="32"/>
          <w:szCs w:val="32"/>
          <w:highlight w:val="none"/>
          <w:lang w:val="en-US" w:eastAsia="zh-CN" w:bidi="ar-SA"/>
        </w:rPr>
        <w:t>，</w:t>
      </w:r>
      <w:r>
        <w:rPr>
          <w:rFonts w:hint="default" w:ascii="仿宋_GB2312" w:hAnsi="仿宋_GB2312" w:eastAsia="仿宋_GB2312" w:cs="仿宋_GB2312"/>
          <w:color w:val="auto"/>
          <w:kern w:val="0"/>
          <w:sz w:val="32"/>
          <w:szCs w:val="32"/>
          <w:highlight w:val="none"/>
          <w:lang w:val="en-US" w:eastAsia="zh-CN" w:bidi="ar-SA"/>
        </w:rPr>
        <w:t>推进市政设施与城市景观、旅游功能有机融合，</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适旅化</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改造市政设施，增设蕴含运河文化、大战文化元素的街头小品、导览标识等“城市家具”</w:t>
      </w:r>
      <w:r>
        <w:rPr>
          <w:rFonts w:hint="eastAsia" w:ascii="仿宋_GB2312" w:hAnsi="仿宋_GB2312" w:eastAsia="仿宋_GB2312" w:cs="仿宋_GB2312"/>
          <w:color w:val="auto"/>
          <w:sz w:val="32"/>
          <w:szCs w:val="32"/>
          <w:highlight w:val="none"/>
          <w:lang w:val="en-US" w:eastAsia="zh-CN"/>
        </w:rPr>
        <w:t>。</w:t>
      </w:r>
      <w:r>
        <w:rPr>
          <w:rFonts w:hint="eastAsia" w:ascii="仿宋_GB2312" w:eastAsia="仿宋_GB2312"/>
          <w:color w:val="auto"/>
          <w:sz w:val="32"/>
          <w:szCs w:val="32"/>
          <w:highlight w:val="none"/>
        </w:rPr>
        <w:t>积极推进停车场、公共建筑、商业建筑配套停车场等公共充电基础设施建设，在古城东门停车场、古城南门停车场和两岸公园城市停车场建设大型公共充电站，打造城区“</w:t>
      </w: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rPr>
        <w:t>.5公里充电服务圈”，提高外来游客和当地居民充电便利度。</w:t>
      </w:r>
    </w:p>
    <w:p w14:paraId="08CD76C3">
      <w:pPr>
        <w:pStyle w:val="6"/>
        <w:pageBreakBefore w:val="0"/>
        <w:widowControl w:val="0"/>
        <w:kinsoku/>
        <w:wordWrap/>
        <w:overflowPunct/>
        <w:topLinePunct w:val="0"/>
        <w:autoSpaceDE/>
        <w:autoSpaceDN/>
        <w:bidi w:val="0"/>
        <w:spacing w:line="600" w:lineRule="exact"/>
        <w:textAlignment w:val="auto"/>
        <w:rPr>
          <w:rFonts w:hint="eastAsia"/>
          <w:color w:val="auto"/>
          <w:highlight w:val="none"/>
        </w:rPr>
      </w:pPr>
      <w:bookmarkStart w:id="27" w:name="_Toc22771"/>
      <w:r>
        <w:rPr>
          <w:rFonts w:hint="eastAsia"/>
          <w:color w:val="auto"/>
          <w:highlight w:val="none"/>
        </w:rPr>
        <w:t>第二节 大力发展镇域经济</w:t>
      </w:r>
      <w:bookmarkEnd w:id="27"/>
    </w:p>
    <w:p w14:paraId="55056172">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宋体" w:eastAsia="仿宋_GB2312"/>
          <w:color w:val="auto"/>
          <w:sz w:val="32"/>
          <w:szCs w:val="32"/>
          <w:highlight w:val="none"/>
        </w:rPr>
      </w:pPr>
      <w:r>
        <w:rPr>
          <w:rFonts w:hint="eastAsia" w:ascii="仿宋_GB2312" w:eastAsia="仿宋_GB2312"/>
          <w:b/>
          <w:bCs/>
          <w:color w:val="auto"/>
          <w:sz w:val="32"/>
          <w:szCs w:val="32"/>
          <w:highlight w:val="none"/>
        </w:rPr>
        <w:t>引导镇域错位互补发展</w:t>
      </w:r>
      <w:r>
        <w:rPr>
          <w:rFonts w:ascii="仿宋_GB2312" w:eastAsia="仿宋_GB2312"/>
          <w:b/>
          <w:bCs/>
          <w:color w:val="auto"/>
          <w:sz w:val="32"/>
          <w:szCs w:val="32"/>
          <w:highlight w:val="none"/>
        </w:rPr>
        <w:t>。</w:t>
      </w:r>
      <w:r>
        <w:rPr>
          <w:rFonts w:hint="eastAsia" w:ascii="仿宋_GB2312" w:eastAsia="仿宋_GB2312"/>
          <w:color w:val="auto"/>
          <w:sz w:val="32"/>
          <w:szCs w:val="32"/>
          <w:highlight w:val="none"/>
        </w:rPr>
        <w:t>发挥镇街“上联城市、下接农村”关键节点作用，因地制宜探索各具特色的发展路径，加快形成“镇域崛起、业兴民富”新格局。</w:t>
      </w:r>
      <w:r>
        <w:rPr>
          <w:rFonts w:hint="eastAsia" w:ascii="仿宋_GB2312" w:hAnsi="宋体" w:eastAsia="仿宋_GB2312"/>
          <w:color w:val="auto"/>
          <w:sz w:val="32"/>
          <w:szCs w:val="32"/>
          <w:highlight w:val="none"/>
        </w:rPr>
        <w:t>以城乡融合为目标，鼓励运河街道融城发展，加快实现全域城镇化</w:t>
      </w:r>
      <w:r>
        <w:rPr>
          <w:rFonts w:hint="eastAsia" w:ascii="仿宋_GB2312" w:hAnsi="宋体" w:eastAsia="仿宋_GB2312"/>
          <w:color w:val="auto"/>
          <w:sz w:val="32"/>
          <w:szCs w:val="32"/>
          <w:highlight w:val="none"/>
          <w:lang w:eastAsia="zh-CN"/>
        </w:rPr>
        <w:t>。</w:t>
      </w:r>
      <w:r>
        <w:rPr>
          <w:rFonts w:hint="eastAsia" w:ascii="仿宋_GB2312" w:hAnsi="宋体" w:eastAsia="仿宋_GB2312"/>
          <w:color w:val="auto"/>
          <w:sz w:val="32"/>
          <w:szCs w:val="32"/>
          <w:highlight w:val="none"/>
        </w:rPr>
        <w:t>引导马兰屯镇、邳庄镇驻地向城区靠拢发展，逐步实现与城区规划衔接、功能互补、服务共享</w:t>
      </w:r>
      <w:r>
        <w:rPr>
          <w:rFonts w:hint="eastAsia" w:ascii="仿宋_GB2312" w:hAnsi="宋体" w:eastAsia="仿宋_GB2312"/>
          <w:color w:val="auto"/>
          <w:sz w:val="32"/>
          <w:szCs w:val="32"/>
          <w:highlight w:val="none"/>
          <w:lang w:eastAsia="zh-CN"/>
        </w:rPr>
        <w:t>。</w:t>
      </w:r>
      <w:r>
        <w:rPr>
          <w:rFonts w:hint="eastAsia" w:ascii="仿宋_GB2312" w:hAnsi="宋体" w:eastAsia="仿宋_GB2312"/>
          <w:color w:val="auto"/>
          <w:sz w:val="32"/>
          <w:szCs w:val="32"/>
          <w:highlight w:val="none"/>
        </w:rPr>
        <w:t>支持张山子镇、涧头集镇、泥沟镇立足资源禀赋差异，加快建设特色城镇。坚持“一镇一业、一业一品”，聚焦镇域特色主导产业，对接主导产业，促进资源集聚、做强品牌影响，打造一批省内知名的特色产业集聚区。组织开展</w:t>
      </w:r>
      <w:r>
        <w:rPr>
          <w:rFonts w:hint="eastAsia" w:ascii="仿宋_GB2312" w:hAnsi="宋体" w:eastAsia="仿宋_GB2312"/>
          <w:color w:val="auto"/>
          <w:sz w:val="32"/>
          <w:szCs w:val="32"/>
          <w:highlight w:val="none"/>
          <w:lang w:val="en-US" w:eastAsia="zh-CN"/>
        </w:rPr>
        <w:t>区</w:t>
      </w:r>
      <w:r>
        <w:rPr>
          <w:rFonts w:hint="eastAsia" w:ascii="仿宋_GB2312" w:hAnsi="宋体" w:eastAsia="仿宋_GB2312"/>
          <w:color w:val="auto"/>
          <w:sz w:val="32"/>
          <w:szCs w:val="32"/>
          <w:highlight w:val="none"/>
        </w:rPr>
        <w:t>级骨干企业与镇域中小企业技术、融资、配套等对接交流活动，搭建协作平台，促进区域产业链上下游企业协作配套。</w:t>
      </w:r>
      <w:r>
        <w:rPr>
          <w:rFonts w:ascii="仿宋_GB2312" w:hAnsi="宋体" w:eastAsia="仿宋_GB2312"/>
          <w:color w:val="auto"/>
          <w:sz w:val="32"/>
          <w:szCs w:val="32"/>
          <w:highlight w:val="none"/>
        </w:rPr>
        <w:t>强化中心城区与各镇（街道）及重点产业园区的便捷联系与功能协调，促进人口、产业、资源要素的合理流动和高效配置</w:t>
      </w:r>
      <w:r>
        <w:rPr>
          <w:rFonts w:hint="eastAsia" w:ascii="仿宋_GB2312" w:hAnsi="宋体" w:eastAsia="仿宋_GB2312"/>
          <w:color w:val="auto"/>
          <w:sz w:val="32"/>
          <w:szCs w:val="32"/>
          <w:highlight w:val="none"/>
        </w:rPr>
        <w:t>。</w:t>
      </w:r>
    </w:p>
    <w:p w14:paraId="68CE0F90">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ascii="仿宋_GB2312" w:hAnsi="楷体_GB2312" w:eastAsia="仿宋_GB2312" w:cs="楷体_GB2312"/>
          <w:color w:val="auto"/>
          <w:sz w:val="32"/>
          <w:szCs w:val="32"/>
          <w:highlight w:val="none"/>
        </w:rPr>
      </w:pPr>
      <w:r>
        <w:rPr>
          <w:rFonts w:hint="eastAsia" w:ascii="仿宋_GB2312" w:hAnsi="宋体" w:eastAsia="仿宋_GB2312"/>
          <w:b/>
          <w:bCs/>
          <w:color w:val="auto"/>
          <w:sz w:val="32"/>
          <w:szCs w:val="32"/>
          <w:highlight w:val="none"/>
        </w:rPr>
        <w:t>完善镇域基础设施网络。</w:t>
      </w:r>
      <w:r>
        <w:rPr>
          <w:rFonts w:hint="eastAsia" w:ascii="仿宋_GB2312" w:hAnsi="宋体" w:eastAsia="仿宋_GB2312"/>
          <w:color w:val="auto"/>
          <w:sz w:val="32"/>
          <w:szCs w:val="32"/>
          <w:highlight w:val="none"/>
        </w:rPr>
        <w:t>实施镇域路网提升工程，围绕“提速、升级、衔接、惠民、融合”，推进城镇乡村公路融入</w:t>
      </w:r>
      <w:r>
        <w:rPr>
          <w:rFonts w:hint="eastAsia" w:ascii="仿宋_GB2312" w:hAnsi="宋体" w:eastAsia="仿宋_GB2312"/>
          <w:color w:val="auto"/>
          <w:sz w:val="32"/>
          <w:szCs w:val="32"/>
          <w:highlight w:val="none"/>
          <w:lang w:val="en-US" w:eastAsia="zh-CN"/>
        </w:rPr>
        <w:t>区级</w:t>
      </w:r>
      <w:r>
        <w:rPr>
          <w:rFonts w:hint="eastAsia" w:ascii="仿宋_GB2312" w:hAnsi="宋体" w:eastAsia="仿宋_GB2312"/>
          <w:color w:val="auto"/>
          <w:sz w:val="32"/>
          <w:szCs w:val="32"/>
          <w:highlight w:val="none"/>
        </w:rPr>
        <w:t>、</w:t>
      </w:r>
      <w:r>
        <w:rPr>
          <w:rFonts w:hint="eastAsia" w:ascii="仿宋_GB2312" w:hAnsi="宋体" w:eastAsia="仿宋_GB2312"/>
          <w:color w:val="auto"/>
          <w:sz w:val="32"/>
          <w:szCs w:val="32"/>
          <w:highlight w:val="none"/>
          <w:lang w:val="en-US" w:eastAsia="zh-CN"/>
        </w:rPr>
        <w:t>市级</w:t>
      </w:r>
      <w:r>
        <w:rPr>
          <w:rFonts w:hint="eastAsia" w:ascii="仿宋_GB2312" w:hAnsi="宋体" w:eastAsia="仿宋_GB2312"/>
          <w:color w:val="auto"/>
          <w:sz w:val="32"/>
          <w:szCs w:val="32"/>
          <w:highlight w:val="none"/>
        </w:rPr>
        <w:t>综合立体交通网，打造“1小时经济圈”。实施交通通达工程，推进县乡公路升级改造，重点打通临近行政区域间断头路，改善优化瓶颈路段，并</w:t>
      </w:r>
      <w:r>
        <w:rPr>
          <w:rFonts w:hint="eastAsia" w:ascii="仿宋_GB2312" w:hAnsi="宋体" w:eastAsia="仿宋_GB2312"/>
          <w:color w:val="auto"/>
          <w:sz w:val="32"/>
          <w:szCs w:val="32"/>
          <w:highlight w:val="none"/>
          <w:lang w:eastAsia="zh-CN"/>
        </w:rPr>
        <w:t>与邻近</w:t>
      </w:r>
      <w:r>
        <w:rPr>
          <w:rFonts w:hint="eastAsia" w:ascii="仿宋_GB2312" w:hAnsi="宋体" w:eastAsia="仿宋_GB2312"/>
          <w:color w:val="auto"/>
          <w:sz w:val="32"/>
          <w:szCs w:val="32"/>
          <w:highlight w:val="none"/>
        </w:rPr>
        <w:t>公路顺畅衔接。</w:t>
      </w:r>
      <w:r>
        <w:rPr>
          <w:rFonts w:hint="eastAsia" w:ascii="仿宋_GB2312" w:hAnsi="楷体_GB2312" w:eastAsia="仿宋_GB2312" w:cs="楷体_GB2312"/>
          <w:color w:val="auto"/>
          <w:sz w:val="32"/>
          <w:szCs w:val="32"/>
          <w:highlight w:val="none"/>
        </w:rPr>
        <w:t>加快农田水利、供水供电、交通物流等城镇传统基础设施数字化改造升级，推进5G、物联网等信息基础设施建设应用，提升承载能力。</w:t>
      </w:r>
    </w:p>
    <w:p w14:paraId="02161764">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宋体" w:eastAsia="仿宋_GB2312"/>
          <w:color w:val="auto"/>
          <w:sz w:val="32"/>
          <w:szCs w:val="32"/>
          <w:highlight w:val="none"/>
        </w:rPr>
      </w:pPr>
      <w:r>
        <w:rPr>
          <w:rFonts w:hint="eastAsia" w:eastAsia="仿宋_GB2312"/>
          <w:b/>
          <w:bCs/>
          <w:color w:val="auto"/>
          <w:sz w:val="32"/>
          <w:szCs w:val="32"/>
          <w:highlight w:val="none"/>
        </w:rPr>
        <w:t>持续改善镇区环境风貌。</w:t>
      </w:r>
      <w:r>
        <w:rPr>
          <w:rFonts w:hint="eastAsia" w:ascii="仿宋_GB2312" w:hAnsi="宋体" w:eastAsia="仿宋_GB2312"/>
          <w:color w:val="auto"/>
          <w:sz w:val="32"/>
          <w:szCs w:val="32"/>
          <w:highlight w:val="none"/>
        </w:rPr>
        <w:t>加强国土空间规划管控，结合市</w:t>
      </w:r>
      <w:r>
        <w:rPr>
          <w:rFonts w:hint="eastAsia" w:ascii="仿宋_GB2312" w:hAnsi="宋体" w:eastAsia="仿宋_GB2312"/>
          <w:color w:val="auto"/>
          <w:sz w:val="32"/>
          <w:szCs w:val="32"/>
          <w:highlight w:val="none"/>
          <w:lang w:eastAsia="zh-CN"/>
        </w:rPr>
        <w:t>、</w:t>
      </w:r>
      <w:r>
        <w:rPr>
          <w:rFonts w:hint="eastAsia" w:ascii="仿宋_GB2312" w:hAnsi="宋体" w:eastAsia="仿宋_GB2312"/>
          <w:color w:val="auto"/>
          <w:sz w:val="32"/>
          <w:szCs w:val="32"/>
          <w:highlight w:val="none"/>
          <w:lang w:val="en-US" w:eastAsia="zh-CN"/>
        </w:rPr>
        <w:t>区两级</w:t>
      </w:r>
      <w:r>
        <w:rPr>
          <w:rFonts w:hint="eastAsia" w:ascii="仿宋_GB2312" w:hAnsi="宋体" w:eastAsia="仿宋_GB2312"/>
          <w:color w:val="auto"/>
          <w:sz w:val="32"/>
          <w:szCs w:val="32"/>
          <w:highlight w:val="none"/>
        </w:rPr>
        <w:t>国土空间规划，落实耕地和永久基本农田、生态保护红线、城镇开发边界“三条控制线”，充分预留城镇发展空间。加强镇区整体风貌设计，结合历史文化、主导产业和地域地貌特点，引导各镇开展镇区风貌设计，塑造特色景观。开展环境综合整治行动，以镇驻地、干线公路、重要河流、重点景区、工业园区等为重点，聚焦垃圾卫生、户外广告、通信线路、道路秩序等问题开展专项整治，提升镇区生活居住品质与整体形象。</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4426C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296" w:type="dxa"/>
            <w:noWrap w:val="0"/>
            <w:vAlign w:val="center"/>
          </w:tcPr>
          <w:p w14:paraId="086A9832">
            <w:pPr>
              <w:jc w:val="center"/>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专栏</w:t>
            </w:r>
            <w:r>
              <w:rPr>
                <w:rFonts w:hint="eastAsia" w:ascii="黑体" w:hAnsi="黑体" w:eastAsia="黑体" w:cs="宋体"/>
                <w:bCs/>
                <w:color w:val="auto"/>
                <w:sz w:val="28"/>
                <w:szCs w:val="28"/>
                <w:highlight w:val="none"/>
                <w:lang w:val="en-US" w:eastAsia="zh-CN"/>
              </w:rPr>
              <w:t>5</w:t>
            </w:r>
            <w:r>
              <w:rPr>
                <w:rFonts w:hint="eastAsia" w:ascii="黑体" w:hAnsi="黑体" w:eastAsia="黑体" w:cs="宋体"/>
                <w:bCs/>
                <w:color w:val="auto"/>
                <w:sz w:val="28"/>
                <w:szCs w:val="28"/>
                <w:highlight w:val="none"/>
              </w:rPr>
              <w:t>：镇域经济发展重点</w:t>
            </w:r>
          </w:p>
        </w:tc>
      </w:tr>
      <w:tr w14:paraId="202F5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noWrap w:val="0"/>
            <w:vAlign w:val="top"/>
          </w:tcPr>
          <w:p w14:paraId="0E93F31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宋体" w:eastAsia="仿宋_GB2312" w:cs="宋体"/>
                <w:bCs/>
                <w:color w:val="auto"/>
                <w:sz w:val="28"/>
                <w:szCs w:val="28"/>
                <w:highlight w:val="none"/>
              </w:rPr>
            </w:pPr>
            <w:r>
              <w:rPr>
                <w:rFonts w:hint="eastAsia" w:ascii="仿宋_GB2312" w:hAnsi="宋体" w:eastAsia="仿宋_GB2312" w:cs="宋体"/>
                <w:bCs/>
                <w:color w:val="auto"/>
                <w:sz w:val="28"/>
                <w:szCs w:val="28"/>
                <w:highlight w:val="none"/>
              </w:rPr>
              <w:t>——运河街道：发挥城区优势，以现代服务业发展为突破口，发展造纸、新医药、新能源、新材料、文旅康养等产业，培育城市产业新体系，打造省级精品文旅名镇。</w:t>
            </w:r>
          </w:p>
          <w:p w14:paraId="70CBF20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宋体" w:eastAsia="仿宋_GB2312" w:cs="宋体"/>
                <w:bCs/>
                <w:color w:val="auto"/>
                <w:sz w:val="28"/>
                <w:szCs w:val="28"/>
                <w:highlight w:val="none"/>
              </w:rPr>
            </w:pPr>
            <w:r>
              <w:rPr>
                <w:rFonts w:hint="eastAsia" w:ascii="仿宋_GB2312" w:hAnsi="宋体" w:eastAsia="仿宋_GB2312" w:cs="宋体"/>
                <w:bCs/>
                <w:color w:val="auto"/>
                <w:sz w:val="28"/>
                <w:szCs w:val="28"/>
                <w:highlight w:val="none"/>
              </w:rPr>
              <w:t>——马兰屯镇：发挥临城、临港、国家农业产业强镇优势，培育高端装备、新材料、内河船舶、商贸物流等产业，发展设施果蔬、苗木花卉产业，打造鲁南苏北地区蔬菜“第一镇”，奋力在全国千强镇中实现位次再前移。</w:t>
            </w:r>
          </w:p>
          <w:p w14:paraId="602CF17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宋体" w:eastAsia="仿宋_GB2312" w:cs="宋体"/>
                <w:bCs/>
                <w:color w:val="auto"/>
                <w:sz w:val="28"/>
                <w:szCs w:val="28"/>
                <w:highlight w:val="none"/>
              </w:rPr>
            </w:pPr>
            <w:r>
              <w:rPr>
                <w:rFonts w:hint="eastAsia" w:ascii="仿宋_GB2312" w:hAnsi="宋体" w:eastAsia="仿宋_GB2312" w:cs="宋体"/>
                <w:bCs/>
                <w:color w:val="auto"/>
                <w:sz w:val="28"/>
                <w:szCs w:val="28"/>
                <w:highlight w:val="none"/>
              </w:rPr>
              <w:t>——邳庄镇：积极融入主城区，重点发展板材家具、特种造纸、锂电配套产业，发展城郊型、精致型现代农业，做强稻米种植、精深加工与综合利用，壮大生态文旅产业，做靓“七彩邳庄”品牌，打造现代农业型特色镇。</w:t>
            </w:r>
          </w:p>
          <w:p w14:paraId="1D9653D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宋体" w:eastAsia="仿宋_GB2312" w:cs="宋体"/>
                <w:bCs/>
                <w:color w:val="auto"/>
                <w:sz w:val="28"/>
                <w:szCs w:val="28"/>
                <w:highlight w:val="none"/>
              </w:rPr>
            </w:pPr>
            <w:r>
              <w:rPr>
                <w:rFonts w:hint="eastAsia" w:ascii="仿宋_GB2312" w:hAnsi="宋体" w:eastAsia="仿宋_GB2312" w:cs="宋体"/>
                <w:bCs/>
                <w:color w:val="auto"/>
                <w:sz w:val="28"/>
                <w:szCs w:val="28"/>
                <w:highlight w:val="none"/>
              </w:rPr>
              <w:t>——涧头集镇：探索建设绿色建材循环发展产业集聚区和高端装备制造产业集聚区，重点发展建材、高端铸造、智能装备、商贸流通等产业</w:t>
            </w:r>
            <w:r>
              <w:rPr>
                <w:rFonts w:hint="eastAsia" w:ascii="仿宋_GB2312" w:hAnsi="宋体" w:eastAsia="仿宋_GB2312" w:cs="宋体"/>
                <w:bCs/>
                <w:color w:val="auto"/>
                <w:sz w:val="28"/>
                <w:szCs w:val="28"/>
                <w:highlight w:val="none"/>
                <w:lang w:eastAsia="zh-CN"/>
              </w:rPr>
              <w:t>，</w:t>
            </w:r>
            <w:r>
              <w:rPr>
                <w:rFonts w:hint="eastAsia" w:ascii="仿宋_GB2312" w:hAnsi="宋体" w:eastAsia="仿宋_GB2312" w:cs="宋体"/>
                <w:bCs/>
                <w:color w:val="auto"/>
                <w:sz w:val="28"/>
                <w:szCs w:val="28"/>
                <w:highlight w:val="none"/>
              </w:rPr>
              <w:t>积极推进涧头集作业区建设</w:t>
            </w:r>
            <w:r>
              <w:rPr>
                <w:rFonts w:hint="eastAsia" w:ascii="仿宋_GB2312" w:hAnsi="宋体" w:eastAsia="仿宋_GB2312" w:cs="宋体"/>
                <w:bCs/>
                <w:color w:val="auto"/>
                <w:sz w:val="28"/>
                <w:szCs w:val="28"/>
                <w:highlight w:val="none"/>
                <w:lang w:eastAsia="zh-CN"/>
              </w:rPr>
              <w:t>，</w:t>
            </w:r>
            <w:r>
              <w:rPr>
                <w:rFonts w:hint="eastAsia" w:ascii="仿宋_GB2312" w:hAnsi="宋体" w:eastAsia="仿宋_GB2312" w:cs="宋体"/>
                <w:bCs/>
                <w:color w:val="auto"/>
                <w:sz w:val="28"/>
                <w:szCs w:val="28"/>
                <w:highlight w:val="none"/>
              </w:rPr>
              <w:t>壮大长茄种植及深加工，打造产业新区、边界商贸重镇，推进全国千强镇位次前移。</w:t>
            </w:r>
          </w:p>
          <w:p w14:paraId="6DC40CD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宋体" w:eastAsia="仿宋_GB2312" w:cs="宋体"/>
                <w:bCs/>
                <w:color w:val="auto"/>
                <w:sz w:val="28"/>
                <w:szCs w:val="28"/>
                <w:highlight w:val="none"/>
              </w:rPr>
            </w:pPr>
            <w:r>
              <w:rPr>
                <w:rFonts w:hint="eastAsia" w:ascii="仿宋_GB2312" w:hAnsi="宋体" w:eastAsia="仿宋_GB2312" w:cs="宋体"/>
                <w:bCs/>
                <w:color w:val="auto"/>
                <w:sz w:val="28"/>
                <w:szCs w:val="28"/>
                <w:highlight w:val="none"/>
              </w:rPr>
              <w:t>——张山子镇：重点发展装备铸造、新材料产业，推动甜桃种业创新和产业升级，打造甜桃新品种示范园，打造现代产业强镇和省际融合示范镇。</w:t>
            </w:r>
          </w:p>
          <w:p w14:paraId="1589074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宋体" w:eastAsia="仿宋_GB2312" w:cs="宋体"/>
                <w:bCs/>
                <w:color w:val="auto"/>
                <w:sz w:val="28"/>
                <w:szCs w:val="28"/>
                <w:highlight w:val="none"/>
              </w:rPr>
            </w:pPr>
            <w:r>
              <w:rPr>
                <w:rFonts w:hint="eastAsia" w:ascii="仿宋_GB2312" w:hAnsi="宋体" w:eastAsia="仿宋_GB2312" w:cs="宋体"/>
                <w:bCs/>
                <w:color w:val="auto"/>
                <w:sz w:val="28"/>
                <w:szCs w:val="28"/>
                <w:highlight w:val="none"/>
              </w:rPr>
              <w:t>——泥沟镇：重点发展高端装备制造、新材料等产业，延伸菌菇种植及精深加工产业链，集中优势资源打造高端装备制造创新基地、全国食用菌特色产业强镇，推动主导产业向集约化、绿色化、高端化迈进。</w:t>
            </w:r>
          </w:p>
        </w:tc>
      </w:tr>
    </w:tbl>
    <w:p w14:paraId="041DAC5F">
      <w:pPr>
        <w:pStyle w:val="6"/>
        <w:pageBreakBefore w:val="0"/>
        <w:widowControl w:val="0"/>
        <w:kinsoku/>
        <w:wordWrap/>
        <w:overflowPunct/>
        <w:topLinePunct w:val="0"/>
        <w:autoSpaceDE/>
        <w:autoSpaceDN/>
        <w:bidi w:val="0"/>
        <w:adjustRightInd w:val="0"/>
        <w:snapToGrid w:val="0"/>
        <w:textAlignment w:val="auto"/>
        <w:rPr>
          <w:rFonts w:hint="eastAsia"/>
          <w:color w:val="auto"/>
          <w:highlight w:val="none"/>
        </w:rPr>
      </w:pPr>
      <w:bookmarkStart w:id="28" w:name="_Toc2967"/>
      <w:r>
        <w:rPr>
          <w:rFonts w:hint="eastAsia"/>
          <w:color w:val="auto"/>
          <w:highlight w:val="none"/>
        </w:rPr>
        <w:t>第三节 深入推进新型城镇化</w:t>
      </w:r>
      <w:bookmarkEnd w:id="28"/>
    </w:p>
    <w:p w14:paraId="2CF0D9F5">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ascii="仿宋_GB2312" w:hAnsi="宋体" w:eastAsia="仿宋_GB2312"/>
          <w:color w:val="auto"/>
          <w:sz w:val="32"/>
          <w:szCs w:val="32"/>
          <w:highlight w:val="none"/>
        </w:rPr>
      </w:pPr>
      <w:r>
        <w:rPr>
          <w:rFonts w:hint="eastAsia" w:ascii="仿宋_GB2312" w:hAnsi="宋体" w:eastAsia="仿宋_GB2312"/>
          <w:b/>
          <w:bCs/>
          <w:color w:val="auto"/>
          <w:sz w:val="32"/>
          <w:szCs w:val="32"/>
          <w:highlight w:val="none"/>
        </w:rPr>
        <w:t>深化农业转移人口市民化</w:t>
      </w:r>
      <w:r>
        <w:rPr>
          <w:rFonts w:hint="eastAsia" w:ascii="仿宋_GB2312" w:hAnsi="宋体" w:eastAsia="仿宋_GB2312"/>
          <w:color w:val="auto"/>
          <w:sz w:val="32"/>
          <w:szCs w:val="32"/>
          <w:highlight w:val="none"/>
        </w:rPr>
        <w:t>。实施新一轮农业转移人口市民化行动，全面落实农业转移人口与城镇户籍人口同等基本公共服务待遇。持续深化户籍制度改革，巩固城镇落户零门槛政策，推进更多户口迁移业务“全程网办”。加快推进居民身份证、居住证功能衔接并轨，与就业、社保、住房等信息集成共享。依法维护进城农民的土地承包权、宅基地使用权、集体收益分配权。提升人口管理和服务水平，保持常住人口稳定。</w:t>
      </w:r>
    </w:p>
    <w:p w14:paraId="4CFA6C35">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ascii="仿宋_GB2312" w:hAnsi="宋体" w:eastAsia="仿宋_GB2312"/>
          <w:color w:val="auto"/>
          <w:sz w:val="32"/>
          <w:szCs w:val="32"/>
          <w:highlight w:val="none"/>
        </w:rPr>
      </w:pPr>
      <w:r>
        <w:rPr>
          <w:rFonts w:hint="eastAsia" w:ascii="仿宋_GB2312" w:hAnsi="宋体" w:eastAsia="仿宋_GB2312"/>
          <w:b/>
          <w:bCs/>
          <w:color w:val="auto"/>
          <w:sz w:val="32"/>
          <w:szCs w:val="32"/>
          <w:highlight w:val="none"/>
        </w:rPr>
        <w:t>推动</w:t>
      </w:r>
      <w:r>
        <w:rPr>
          <w:rFonts w:ascii="仿宋_GB2312" w:hAnsi="宋体" w:eastAsia="仿宋_GB2312"/>
          <w:b/>
          <w:bCs/>
          <w:color w:val="auto"/>
          <w:sz w:val="32"/>
          <w:szCs w:val="32"/>
          <w:highlight w:val="none"/>
        </w:rPr>
        <w:t>城乡</w:t>
      </w:r>
      <w:r>
        <w:rPr>
          <w:rFonts w:hint="eastAsia" w:ascii="仿宋_GB2312" w:hAnsi="宋体" w:eastAsia="仿宋_GB2312"/>
          <w:b/>
          <w:bCs/>
          <w:color w:val="auto"/>
          <w:sz w:val="32"/>
          <w:szCs w:val="32"/>
          <w:highlight w:val="none"/>
        </w:rPr>
        <w:t>设施服务一体化</w:t>
      </w:r>
      <w:r>
        <w:rPr>
          <w:rFonts w:hint="eastAsia" w:ascii="仿宋_GB2312" w:hAnsi="宋体" w:eastAsia="仿宋_GB2312"/>
          <w:color w:val="auto"/>
          <w:sz w:val="32"/>
          <w:szCs w:val="32"/>
          <w:highlight w:val="none"/>
        </w:rPr>
        <w:t>。实施污水治理、生活垃圾收运、城乡照明等基础设施统一管护，促进城区基础设施向</w:t>
      </w:r>
      <w:r>
        <w:rPr>
          <w:rFonts w:hint="eastAsia" w:ascii="仿宋_GB2312" w:hAnsi="宋体" w:eastAsia="仿宋_GB2312"/>
          <w:color w:val="auto"/>
          <w:sz w:val="32"/>
          <w:szCs w:val="32"/>
          <w:highlight w:val="none"/>
          <w:lang w:val="en-US" w:eastAsia="zh-CN"/>
        </w:rPr>
        <w:t>镇街</w:t>
      </w:r>
      <w:r>
        <w:rPr>
          <w:rFonts w:hint="eastAsia" w:ascii="仿宋_GB2312" w:hAnsi="宋体" w:eastAsia="仿宋_GB2312"/>
          <w:color w:val="auto"/>
          <w:sz w:val="32"/>
          <w:szCs w:val="32"/>
          <w:highlight w:val="none"/>
        </w:rPr>
        <w:t>延伸覆盖。加强</w:t>
      </w:r>
      <w:r>
        <w:rPr>
          <w:rFonts w:hint="eastAsia" w:ascii="仿宋_GB2312" w:hAnsi="宋体" w:eastAsia="仿宋_GB2312"/>
          <w:color w:val="auto"/>
          <w:sz w:val="32"/>
          <w:szCs w:val="32"/>
          <w:highlight w:val="none"/>
          <w:lang w:val="en-US" w:eastAsia="zh-CN"/>
        </w:rPr>
        <w:t>镇街</w:t>
      </w:r>
      <w:r>
        <w:rPr>
          <w:rFonts w:hint="eastAsia" w:ascii="仿宋_GB2312" w:hAnsi="宋体" w:eastAsia="仿宋_GB2312"/>
          <w:color w:val="auto"/>
          <w:sz w:val="32"/>
          <w:szCs w:val="32"/>
          <w:highlight w:val="none"/>
        </w:rPr>
        <w:t>卫生院设备配套，增强常见病、多发病诊疗能力，改善医疗卫生服务水平。建立健全以区级养老机构、</w:t>
      </w:r>
      <w:r>
        <w:rPr>
          <w:rFonts w:hint="eastAsia" w:ascii="仿宋_GB2312" w:hAnsi="宋体" w:eastAsia="仿宋_GB2312"/>
          <w:color w:val="auto"/>
          <w:sz w:val="32"/>
          <w:szCs w:val="32"/>
          <w:highlight w:val="none"/>
          <w:lang w:val="en-US" w:eastAsia="zh-CN"/>
        </w:rPr>
        <w:t>镇街</w:t>
      </w:r>
      <w:r>
        <w:rPr>
          <w:rFonts w:hint="eastAsia" w:ascii="仿宋_GB2312" w:hAnsi="宋体" w:eastAsia="仿宋_GB2312"/>
          <w:color w:val="auto"/>
          <w:sz w:val="32"/>
          <w:szCs w:val="32"/>
          <w:highlight w:val="none"/>
        </w:rPr>
        <w:t>敬老院、村级养老互助点为主体的三级养老服务网络。</w:t>
      </w:r>
      <w:r>
        <w:rPr>
          <w:rFonts w:hint="eastAsia" w:ascii="仿宋_GB2312" w:hAnsi="宋体" w:eastAsia="仿宋_GB2312"/>
          <w:color w:val="auto"/>
          <w:sz w:val="32"/>
          <w:szCs w:val="32"/>
          <w:highlight w:val="none"/>
          <w:lang w:val="en-US" w:eastAsia="zh-CN"/>
        </w:rPr>
        <w:t>积极</w:t>
      </w:r>
      <w:r>
        <w:rPr>
          <w:rFonts w:hint="eastAsia" w:ascii="仿宋_GB2312" w:hAnsi="宋体" w:eastAsia="仿宋_GB2312"/>
          <w:color w:val="auto"/>
          <w:sz w:val="32"/>
          <w:szCs w:val="32"/>
          <w:highlight w:val="none"/>
        </w:rPr>
        <w:t>探索城乡融合发展</w:t>
      </w:r>
      <w:r>
        <w:rPr>
          <w:rFonts w:hint="eastAsia" w:ascii="仿宋_GB2312" w:hAnsi="宋体" w:eastAsia="仿宋_GB2312"/>
          <w:color w:val="auto"/>
          <w:sz w:val="32"/>
          <w:szCs w:val="32"/>
          <w:highlight w:val="none"/>
          <w:lang w:val="en-US" w:eastAsia="zh-CN"/>
        </w:rPr>
        <w:t>新路径</w:t>
      </w:r>
      <w:r>
        <w:rPr>
          <w:rFonts w:hint="eastAsia" w:ascii="仿宋_GB2312" w:hAnsi="宋体" w:eastAsia="仿宋_GB2312"/>
          <w:color w:val="auto"/>
          <w:sz w:val="32"/>
          <w:szCs w:val="32"/>
          <w:highlight w:val="none"/>
        </w:rPr>
        <w:t>，推广“城区+乡村</w:t>
      </w:r>
      <w:r>
        <w:rPr>
          <w:rFonts w:hint="eastAsia" w:ascii="仿宋_GB2312" w:hAnsi="宋体" w:eastAsia="仿宋_GB2312"/>
          <w:color w:val="auto"/>
          <w:sz w:val="32"/>
          <w:szCs w:val="32"/>
          <w:highlight w:val="none"/>
          <w:lang w:eastAsia="zh-CN"/>
        </w:rPr>
        <w:t>”“</w:t>
      </w:r>
      <w:r>
        <w:rPr>
          <w:rFonts w:hint="eastAsia" w:ascii="仿宋_GB2312" w:hAnsi="宋体" w:eastAsia="仿宋_GB2312"/>
          <w:color w:val="auto"/>
          <w:sz w:val="32"/>
          <w:szCs w:val="32"/>
          <w:highlight w:val="none"/>
        </w:rPr>
        <w:t>景区+片区</w:t>
      </w:r>
      <w:r>
        <w:rPr>
          <w:rFonts w:hint="eastAsia" w:ascii="仿宋_GB2312" w:hAnsi="宋体" w:eastAsia="仿宋_GB2312"/>
          <w:color w:val="auto"/>
          <w:sz w:val="32"/>
          <w:szCs w:val="32"/>
          <w:highlight w:val="none"/>
          <w:lang w:eastAsia="zh-CN"/>
        </w:rPr>
        <w:t>”“</w:t>
      </w:r>
      <w:r>
        <w:rPr>
          <w:rFonts w:hint="eastAsia" w:ascii="仿宋_GB2312" w:hAnsi="宋体" w:eastAsia="仿宋_GB2312"/>
          <w:color w:val="auto"/>
          <w:sz w:val="32"/>
          <w:szCs w:val="32"/>
          <w:highlight w:val="none"/>
        </w:rPr>
        <w:t>文旅+康养”等城乡融合发展业态。</w:t>
      </w:r>
    </w:p>
    <w:p w14:paraId="5F8C2B23">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ascii="仿宋_GB2312" w:hAnsi="宋体" w:eastAsia="仿宋_GB2312"/>
          <w:b/>
          <w:color w:val="auto"/>
          <w:sz w:val="32"/>
          <w:szCs w:val="32"/>
          <w:highlight w:val="none"/>
        </w:rPr>
      </w:pPr>
      <w:r>
        <w:rPr>
          <w:rFonts w:hint="eastAsia" w:ascii="仿宋_GB2312" w:hAnsi="宋体" w:eastAsia="仿宋_GB2312"/>
          <w:b/>
          <w:bCs/>
          <w:color w:val="auto"/>
          <w:sz w:val="32"/>
          <w:szCs w:val="32"/>
          <w:highlight w:val="none"/>
        </w:rPr>
        <w:t>推进城乡要素流动自由化</w:t>
      </w:r>
      <w:r>
        <w:rPr>
          <w:rFonts w:ascii="仿宋_GB2312" w:hAnsi="宋体" w:eastAsia="仿宋_GB2312"/>
          <w:color w:val="auto"/>
          <w:sz w:val="32"/>
          <w:szCs w:val="32"/>
          <w:highlight w:val="none"/>
        </w:rPr>
        <w:t>。</w:t>
      </w:r>
      <w:r>
        <w:rPr>
          <w:rFonts w:hint="eastAsia" w:ascii="仿宋_GB2312" w:hAnsi="宋体" w:eastAsia="仿宋_GB2312"/>
          <w:color w:val="auto"/>
          <w:sz w:val="32"/>
          <w:szCs w:val="32"/>
          <w:highlight w:val="none"/>
        </w:rPr>
        <w:t>健全城乡人才培养合作与交流机制，持续完善城区医疗卫生、教育、文旅等领域人才定期服务乡村机制。发挥</w:t>
      </w:r>
      <w:r>
        <w:rPr>
          <w:rFonts w:ascii="仿宋_GB2312" w:hAnsi="宋体" w:eastAsia="仿宋_GB2312"/>
          <w:color w:val="auto"/>
          <w:sz w:val="32"/>
          <w:szCs w:val="32"/>
          <w:highlight w:val="none"/>
        </w:rPr>
        <w:t>城区人才</w:t>
      </w:r>
      <w:r>
        <w:rPr>
          <w:rFonts w:hint="eastAsia" w:ascii="仿宋_GB2312" w:hAnsi="宋体" w:eastAsia="仿宋_GB2312"/>
          <w:color w:val="auto"/>
          <w:sz w:val="32"/>
          <w:szCs w:val="32"/>
          <w:highlight w:val="none"/>
        </w:rPr>
        <w:t>集聚优势</w:t>
      </w:r>
      <w:r>
        <w:rPr>
          <w:rFonts w:ascii="仿宋_GB2312" w:hAnsi="宋体" w:eastAsia="仿宋_GB2312"/>
          <w:color w:val="auto"/>
          <w:sz w:val="32"/>
          <w:szCs w:val="32"/>
          <w:highlight w:val="none"/>
        </w:rPr>
        <w:t>，</w:t>
      </w:r>
      <w:r>
        <w:rPr>
          <w:rFonts w:hint="eastAsia" w:ascii="仿宋_GB2312" w:hAnsi="宋体" w:eastAsia="仿宋_GB2312"/>
          <w:color w:val="auto"/>
          <w:sz w:val="32"/>
          <w:szCs w:val="32"/>
          <w:highlight w:val="none"/>
        </w:rPr>
        <w:t>鼓励企业、高校、科研机构在</w:t>
      </w:r>
      <w:r>
        <w:rPr>
          <w:rFonts w:hint="eastAsia" w:ascii="仿宋_GB2312" w:hAnsi="宋体" w:eastAsia="仿宋_GB2312"/>
          <w:color w:val="auto"/>
          <w:sz w:val="32"/>
          <w:szCs w:val="32"/>
          <w:highlight w:val="none"/>
          <w:lang w:eastAsia="zh-CN"/>
        </w:rPr>
        <w:t>镇街</w:t>
      </w:r>
      <w:r>
        <w:rPr>
          <w:rFonts w:hint="eastAsia" w:ascii="仿宋_GB2312" w:hAnsi="宋体" w:eastAsia="仿宋_GB2312"/>
          <w:color w:val="auto"/>
          <w:sz w:val="32"/>
          <w:szCs w:val="32"/>
          <w:highlight w:val="none"/>
        </w:rPr>
        <w:t>设立工作站、实践基地，</w:t>
      </w:r>
      <w:r>
        <w:rPr>
          <w:rFonts w:ascii="仿宋_GB2312" w:hAnsi="宋体" w:eastAsia="仿宋_GB2312"/>
          <w:color w:val="auto"/>
          <w:sz w:val="32"/>
          <w:szCs w:val="32"/>
          <w:highlight w:val="none"/>
        </w:rPr>
        <w:t>促进</w:t>
      </w:r>
      <w:r>
        <w:rPr>
          <w:rFonts w:hint="eastAsia" w:ascii="仿宋_GB2312" w:hAnsi="宋体" w:eastAsia="仿宋_GB2312"/>
          <w:color w:val="auto"/>
          <w:sz w:val="32"/>
          <w:szCs w:val="32"/>
          <w:highlight w:val="none"/>
        </w:rPr>
        <w:t>城乡</w:t>
      </w:r>
      <w:r>
        <w:rPr>
          <w:rFonts w:ascii="仿宋_GB2312" w:hAnsi="宋体" w:eastAsia="仿宋_GB2312"/>
          <w:color w:val="auto"/>
          <w:sz w:val="32"/>
          <w:szCs w:val="32"/>
          <w:highlight w:val="none"/>
        </w:rPr>
        <w:t>人才共用</w:t>
      </w:r>
      <w:r>
        <w:rPr>
          <w:rFonts w:hint="eastAsia" w:ascii="仿宋_GB2312" w:hAnsi="宋体" w:eastAsia="仿宋_GB2312"/>
          <w:color w:val="auto"/>
          <w:sz w:val="32"/>
          <w:szCs w:val="32"/>
          <w:highlight w:val="none"/>
        </w:rPr>
        <w:t>。建立健全城乡统一的土地市场，赋</w:t>
      </w:r>
      <w:r>
        <w:rPr>
          <w:rFonts w:hint="eastAsia" w:ascii="仿宋_GB2312" w:hAnsi="宋体" w:eastAsia="仿宋_GB2312" w:cs="Times New Roman"/>
          <w:color w:val="auto"/>
          <w:sz w:val="32"/>
          <w:szCs w:val="32"/>
          <w:highlight w:val="none"/>
        </w:rPr>
        <w:t>予农民更加完整和稳定的土地财产权利。搭建城乡信息交流平台，提高乡村投资的吸引力和透明度，有序引导社会资</w:t>
      </w:r>
      <w:r>
        <w:rPr>
          <w:rFonts w:hint="eastAsia" w:ascii="仿宋_GB2312" w:hAnsi="宋体" w:eastAsia="仿宋_GB2312" w:cs="Times New Roman"/>
          <w:color w:val="auto"/>
          <w:sz w:val="32"/>
          <w:szCs w:val="32"/>
          <w:highlight w:val="none"/>
          <w:lang w:eastAsia="zh-CN"/>
        </w:rPr>
        <w:t>本投</w:t>
      </w:r>
      <w:r>
        <w:rPr>
          <w:rFonts w:hint="eastAsia" w:ascii="仿宋_GB2312" w:hAnsi="宋体" w:eastAsia="仿宋_GB2312" w:cs="Times New Roman"/>
          <w:color w:val="auto"/>
          <w:sz w:val="32"/>
          <w:szCs w:val="32"/>
          <w:highlight w:val="none"/>
        </w:rPr>
        <w:t>入</w:t>
      </w:r>
      <w:r>
        <w:rPr>
          <w:rFonts w:hint="eastAsia" w:ascii="仿宋_GB2312" w:hAnsi="宋体" w:eastAsia="仿宋_GB2312" w:cs="Times New Roman"/>
          <w:color w:val="auto"/>
          <w:sz w:val="32"/>
          <w:szCs w:val="32"/>
          <w:highlight w:val="none"/>
          <w:lang w:eastAsia="zh-CN"/>
        </w:rPr>
        <w:t>镇街</w:t>
      </w:r>
      <w:r>
        <w:rPr>
          <w:rFonts w:hint="eastAsia" w:ascii="仿宋_GB2312" w:hAnsi="宋体" w:eastAsia="仿宋_GB2312" w:cs="Times New Roman"/>
          <w:color w:val="auto"/>
          <w:sz w:val="32"/>
          <w:szCs w:val="32"/>
          <w:highlight w:val="none"/>
        </w:rPr>
        <w:t>。</w:t>
      </w:r>
    </w:p>
    <w:tbl>
      <w:tblPr>
        <w:tblStyle w:val="20"/>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6859E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296" w:type="dxa"/>
            <w:noWrap w:val="0"/>
            <w:vAlign w:val="center"/>
          </w:tcPr>
          <w:p w14:paraId="33EE1C26">
            <w:pPr>
              <w:jc w:val="center"/>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专栏</w:t>
            </w:r>
            <w:r>
              <w:rPr>
                <w:rFonts w:hint="eastAsia" w:ascii="黑体" w:hAnsi="黑体" w:eastAsia="黑体" w:cs="宋体"/>
                <w:bCs/>
                <w:color w:val="auto"/>
                <w:sz w:val="28"/>
                <w:szCs w:val="28"/>
                <w:highlight w:val="none"/>
                <w:lang w:val="en-US" w:eastAsia="zh-CN"/>
              </w:rPr>
              <w:t>6</w:t>
            </w:r>
            <w:r>
              <w:rPr>
                <w:rFonts w:hint="eastAsia" w:ascii="黑体" w:hAnsi="黑体" w:eastAsia="黑体" w:cs="宋体"/>
                <w:bCs/>
                <w:color w:val="auto"/>
                <w:sz w:val="28"/>
                <w:szCs w:val="28"/>
                <w:highlight w:val="none"/>
              </w:rPr>
              <w:t>：城市</w:t>
            </w:r>
            <w:r>
              <w:rPr>
                <w:rFonts w:ascii="黑体" w:hAnsi="黑体" w:eastAsia="黑体" w:cs="宋体"/>
                <w:bCs/>
                <w:color w:val="auto"/>
                <w:sz w:val="28"/>
                <w:szCs w:val="28"/>
                <w:highlight w:val="none"/>
              </w:rPr>
              <w:t>建设重点项目</w:t>
            </w:r>
          </w:p>
        </w:tc>
      </w:tr>
      <w:tr w14:paraId="580BC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noWrap w:val="0"/>
            <w:vAlign w:val="top"/>
          </w:tcPr>
          <w:p w14:paraId="226B6A74">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eastAsia="仿宋_GB2312"/>
                <w:color w:val="auto"/>
                <w:highlight w:val="none"/>
                <w:lang w:eastAsia="zh-CN"/>
              </w:rPr>
            </w:pPr>
            <w:r>
              <w:rPr>
                <w:rFonts w:hint="eastAsia" w:ascii="仿宋_GB2312" w:hAnsi="宋体" w:eastAsia="仿宋_GB2312" w:cs="宋体"/>
                <w:bCs/>
                <w:color w:val="auto"/>
                <w:sz w:val="28"/>
                <w:szCs w:val="28"/>
                <w:highlight w:val="none"/>
              </w:rPr>
              <w:t>（1）东北部片区城市更新项目（2）箭道路/桃园路北延项目（3）马兰屯-涧头集高压燃气管道工程（4）高品质住宅建设，市民中心北侧地块（王晁集团）、毛良安置区南侧地块（水发集团）、国家粮食储备库地块（大运河集团）（5）老旧小区庭院供热管网更新改造项目（6）官庄村、云河片区城中村改造项目（7）老旧小区建筑节能改造工程（8）老旧街区更新改造项目</w:t>
            </w:r>
            <w:r>
              <w:rPr>
                <w:rFonts w:hint="eastAsia" w:ascii="仿宋_GB2312" w:hAnsi="宋体" w:eastAsia="仿宋_GB2312" w:cs="宋体"/>
                <w:bCs/>
                <w:color w:val="auto"/>
                <w:sz w:val="28"/>
                <w:szCs w:val="28"/>
                <w:highlight w:val="none"/>
                <w:lang w:eastAsia="zh-CN"/>
              </w:rPr>
              <w:t>（</w:t>
            </w:r>
            <w:r>
              <w:rPr>
                <w:rFonts w:hint="eastAsia" w:ascii="仿宋_GB2312" w:hAnsi="宋体" w:eastAsia="仿宋_GB2312" w:cs="宋体"/>
                <w:bCs/>
                <w:color w:val="auto"/>
                <w:sz w:val="28"/>
                <w:szCs w:val="28"/>
                <w:highlight w:val="none"/>
                <w:lang w:val="en-US" w:eastAsia="zh-CN"/>
              </w:rPr>
              <w:t>9</w:t>
            </w:r>
            <w:r>
              <w:rPr>
                <w:rFonts w:hint="eastAsia" w:ascii="仿宋_GB2312" w:hAnsi="宋体" w:eastAsia="仿宋_GB2312" w:cs="宋体"/>
                <w:bCs/>
                <w:color w:val="auto"/>
                <w:sz w:val="28"/>
                <w:szCs w:val="28"/>
                <w:highlight w:val="none"/>
                <w:lang w:eastAsia="zh-CN"/>
              </w:rPr>
              <w:t>）</w:t>
            </w:r>
            <w:r>
              <w:rPr>
                <w:rFonts w:hint="eastAsia" w:ascii="仿宋_GB2312" w:hAnsi="宋体" w:eastAsia="仿宋_GB2312" w:cs="宋体"/>
                <w:bCs/>
                <w:color w:val="auto"/>
                <w:sz w:val="28"/>
                <w:szCs w:val="28"/>
                <w:highlight w:val="none"/>
              </w:rPr>
              <w:t>城区停车位及充电桩建设项目</w:t>
            </w:r>
            <w:r>
              <w:rPr>
                <w:rFonts w:hint="eastAsia" w:ascii="仿宋_GB2312" w:hAnsi="宋体" w:eastAsia="仿宋_GB2312" w:cs="宋体"/>
                <w:bCs/>
                <w:color w:val="auto"/>
                <w:sz w:val="28"/>
                <w:szCs w:val="28"/>
                <w:highlight w:val="none"/>
                <w:lang w:eastAsia="zh-CN"/>
              </w:rPr>
              <w:t>。</w:t>
            </w:r>
          </w:p>
        </w:tc>
      </w:tr>
    </w:tbl>
    <w:p w14:paraId="47BC6014">
      <w:pPr>
        <w:pStyle w:val="12"/>
        <w:adjustRightInd w:val="0"/>
        <w:snapToGrid w:val="0"/>
        <w:spacing w:line="600" w:lineRule="exact"/>
        <w:ind w:firstLine="640" w:firstLineChars="200"/>
        <w:rPr>
          <w:rFonts w:hint="eastAsia" w:ascii="仿宋_GB2312" w:hAnsi="宋体" w:eastAsia="仿宋_GB2312"/>
          <w:color w:val="auto"/>
          <w:sz w:val="32"/>
          <w:szCs w:val="32"/>
          <w:highlight w:val="none"/>
        </w:rPr>
      </w:pPr>
    </w:p>
    <w:p w14:paraId="68785BB0">
      <w:pPr>
        <w:pStyle w:val="5"/>
        <w:adjustRightInd w:val="0"/>
        <w:snapToGrid w:val="0"/>
        <w:spacing w:before="240" w:after="240" w:line="600" w:lineRule="exact"/>
        <w:jc w:val="center"/>
        <w:rPr>
          <w:rFonts w:hint="eastAsia" w:ascii="黑体" w:hAnsi="黑体" w:eastAsia="黑体"/>
          <w:b w:val="0"/>
          <w:bCs w:val="0"/>
          <w:color w:val="auto"/>
          <w:sz w:val="32"/>
          <w:szCs w:val="32"/>
          <w:highlight w:val="none"/>
        </w:rPr>
        <w:sectPr>
          <w:footnotePr>
            <w:numFmt w:val="decimalEnclosedCircleChinese"/>
            <w:numRestart w:val="eachPage"/>
          </w:footnotePr>
          <w:pgSz w:w="11906" w:h="16838"/>
          <w:pgMar w:top="1984" w:right="1587" w:bottom="1701" w:left="1587" w:header="851" w:footer="1134" w:gutter="0"/>
          <w:pgNumType w:fmt="numberInDash"/>
          <w:cols w:space="720" w:num="1"/>
          <w:docGrid w:type="lines" w:linePitch="312" w:charSpace="0"/>
        </w:sectPr>
      </w:pPr>
    </w:p>
    <w:p w14:paraId="7F724D02">
      <w:pPr>
        <w:pStyle w:val="5"/>
        <w:adjustRightInd w:val="0"/>
        <w:snapToGrid w:val="0"/>
        <w:spacing w:before="240" w:after="240" w:line="600" w:lineRule="exact"/>
        <w:jc w:val="center"/>
        <w:rPr>
          <w:rFonts w:hint="default" w:ascii="黑体" w:hAnsi="黑体" w:eastAsia="黑体"/>
          <w:b w:val="0"/>
          <w:bCs w:val="0"/>
          <w:color w:val="auto"/>
          <w:sz w:val="32"/>
          <w:szCs w:val="32"/>
          <w:highlight w:val="none"/>
          <w:lang w:val="en-US" w:eastAsia="zh-CN"/>
        </w:rPr>
      </w:pPr>
      <w:bookmarkStart w:id="29" w:name="_Toc30852"/>
      <w:r>
        <w:rPr>
          <w:rFonts w:hint="eastAsia" w:ascii="黑体" w:hAnsi="黑体" w:eastAsia="黑体"/>
          <w:b w:val="0"/>
          <w:bCs w:val="0"/>
          <w:color w:val="auto"/>
          <w:sz w:val="32"/>
          <w:szCs w:val="32"/>
          <w:highlight w:val="none"/>
        </w:rPr>
        <w:t>第六章 突出农业农村现代化，</w:t>
      </w:r>
      <w:r>
        <w:rPr>
          <w:rFonts w:hint="eastAsia" w:ascii="黑体" w:hAnsi="黑体" w:eastAsia="黑体"/>
          <w:b w:val="0"/>
          <w:bCs w:val="0"/>
          <w:color w:val="auto"/>
          <w:sz w:val="32"/>
          <w:szCs w:val="32"/>
          <w:highlight w:val="none"/>
          <w:lang w:val="en-US" w:eastAsia="zh-CN"/>
        </w:rPr>
        <w:t>奋力推进</w:t>
      </w:r>
      <w:r>
        <w:rPr>
          <w:rFonts w:hint="eastAsia" w:ascii="黑体" w:hAnsi="黑体" w:eastAsia="黑体"/>
          <w:b w:val="0"/>
          <w:bCs w:val="0"/>
          <w:color w:val="auto"/>
          <w:sz w:val="32"/>
          <w:szCs w:val="32"/>
          <w:highlight w:val="none"/>
        </w:rPr>
        <w:t>乡村</w:t>
      </w:r>
      <w:r>
        <w:rPr>
          <w:rFonts w:hint="eastAsia" w:ascii="黑体" w:hAnsi="黑体" w:eastAsia="黑体"/>
          <w:b w:val="0"/>
          <w:bCs w:val="0"/>
          <w:color w:val="auto"/>
          <w:sz w:val="32"/>
          <w:szCs w:val="32"/>
          <w:highlight w:val="none"/>
          <w:lang w:val="en-US" w:eastAsia="zh-CN"/>
        </w:rPr>
        <w:t>全面</w:t>
      </w:r>
      <w:r>
        <w:rPr>
          <w:rFonts w:hint="eastAsia" w:ascii="黑体" w:hAnsi="黑体" w:eastAsia="黑体"/>
          <w:b w:val="0"/>
          <w:bCs w:val="0"/>
          <w:color w:val="auto"/>
          <w:sz w:val="32"/>
          <w:szCs w:val="32"/>
          <w:highlight w:val="none"/>
        </w:rPr>
        <w:t>振兴</w:t>
      </w:r>
      <w:bookmarkEnd w:id="29"/>
    </w:p>
    <w:p w14:paraId="6BD4ABFC">
      <w:pPr>
        <w:pStyle w:val="12"/>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仿宋_GB2312" w:eastAsia="仿宋_GB2312"/>
          <w:color w:val="auto"/>
          <w:sz w:val="32"/>
          <w:szCs w:val="32"/>
          <w:highlight w:val="none"/>
          <w:u w:val="none"/>
        </w:rPr>
      </w:pPr>
      <w:r>
        <w:rPr>
          <w:rFonts w:hint="eastAsia" w:ascii="仿宋_GB2312" w:eastAsia="仿宋_GB2312"/>
          <w:color w:val="auto"/>
          <w:sz w:val="32"/>
          <w:szCs w:val="32"/>
          <w:highlight w:val="none"/>
          <w:u w:val="none"/>
        </w:rPr>
        <w:t>聚焦农业高质高效、乡村宜居宜业、农民富裕富足，</w:t>
      </w:r>
      <w:r>
        <w:rPr>
          <w:rFonts w:hint="eastAsia" w:ascii="仿宋_GB2312" w:hAnsi="仿宋_GB2312" w:eastAsia="仿宋_GB2312" w:cs="仿宋_GB2312"/>
          <w:color w:val="auto"/>
          <w:sz w:val="32"/>
          <w:szCs w:val="32"/>
          <w:highlight w:val="none"/>
          <w:u w:val="none"/>
        </w:rPr>
        <w:t>学习运用“千万工程”经验，纵深推进国创区建设，</w:t>
      </w:r>
      <w:r>
        <w:rPr>
          <w:rFonts w:hint="eastAsia" w:ascii="仿宋_GB2312" w:eastAsia="仿宋_GB2312"/>
          <w:color w:val="auto"/>
          <w:sz w:val="32"/>
          <w:szCs w:val="32"/>
          <w:highlight w:val="none"/>
          <w:u w:val="none"/>
        </w:rPr>
        <w:t>推动农业增效益、农村增活力、农民增收入，</w:t>
      </w:r>
      <w:r>
        <w:rPr>
          <w:rFonts w:hint="eastAsia" w:ascii="仿宋_GB2312" w:eastAsia="仿宋_GB2312"/>
          <w:color w:val="auto"/>
          <w:sz w:val="32"/>
          <w:szCs w:val="32"/>
          <w:highlight w:val="none"/>
          <w:u w:val="none"/>
          <w:lang w:val="en-US" w:eastAsia="zh-CN"/>
        </w:rPr>
        <w:t>打造国创区建设与乡村振兴的台儿庄实践成果</w:t>
      </w:r>
      <w:r>
        <w:rPr>
          <w:rFonts w:hint="eastAsia" w:ascii="仿宋_GB2312" w:hAnsi="仿宋_GB2312" w:eastAsia="仿宋_GB2312" w:cs="仿宋_GB2312"/>
          <w:color w:val="auto"/>
          <w:sz w:val="32"/>
          <w:szCs w:val="32"/>
          <w:highlight w:val="none"/>
          <w:u w:val="none"/>
        </w:rPr>
        <w:t>。</w:t>
      </w:r>
      <w:r>
        <w:rPr>
          <w:rFonts w:hint="eastAsia" w:ascii="仿宋_GB2312" w:eastAsia="仿宋_GB2312"/>
          <w:color w:val="auto"/>
          <w:sz w:val="32"/>
          <w:szCs w:val="32"/>
          <w:highlight w:val="none"/>
          <w:u w:val="none"/>
        </w:rPr>
        <w:t>到2030年，乡村振兴取得实质性进展，农业农村现代化迈上新台阶。</w:t>
      </w:r>
    </w:p>
    <w:p w14:paraId="2EF0F1CE">
      <w:pPr>
        <w:pStyle w:val="6"/>
        <w:bidi w:val="0"/>
        <w:rPr>
          <w:rFonts w:hint="eastAsia"/>
          <w:color w:val="auto"/>
          <w:highlight w:val="none"/>
        </w:rPr>
      </w:pPr>
      <w:bookmarkStart w:id="30" w:name="_Toc20256"/>
      <w:bookmarkStart w:id="31" w:name="_Toc1110"/>
      <w:r>
        <w:rPr>
          <w:rFonts w:hint="eastAsia"/>
          <w:color w:val="auto"/>
          <w:highlight w:val="none"/>
        </w:rPr>
        <w:t>第一节 夯实粮食安全生产底盘</w:t>
      </w:r>
      <w:bookmarkEnd w:id="30"/>
      <w:bookmarkEnd w:id="31"/>
    </w:p>
    <w:p w14:paraId="5479E376">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ascii="仿宋_GB2312" w:hAnsi="Times New Roman" w:eastAsia="仿宋_GB2312" w:cs="仿宋_GB2312"/>
          <w:color w:val="auto"/>
          <w:sz w:val="32"/>
          <w:szCs w:val="32"/>
          <w:highlight w:val="none"/>
          <w:u w:val="none"/>
          <w:lang w:bidi="ar"/>
        </w:rPr>
      </w:pPr>
      <w:r>
        <w:rPr>
          <w:rFonts w:hint="eastAsia" w:ascii="仿宋_GB2312" w:hAnsi="仿宋_GB2312" w:eastAsia="仿宋_GB2312" w:cs="仿宋_GB2312"/>
          <w:b/>
          <w:bCs/>
          <w:color w:val="auto"/>
          <w:sz w:val="32"/>
          <w:szCs w:val="32"/>
          <w:highlight w:val="none"/>
          <w:u w:val="none"/>
        </w:rPr>
        <w:t>稳步提升粮食产能。</w:t>
      </w:r>
      <w:r>
        <w:rPr>
          <w:rFonts w:hint="eastAsia" w:ascii="仿宋_GB2312" w:eastAsia="仿宋_GB2312"/>
          <w:color w:val="auto"/>
          <w:sz w:val="32"/>
          <w:szCs w:val="32"/>
          <w:highlight w:val="none"/>
          <w:u w:val="none"/>
        </w:rPr>
        <w:t>贯彻</w:t>
      </w:r>
      <w:r>
        <w:rPr>
          <w:rFonts w:hint="eastAsia" w:ascii="仿宋_GB2312" w:eastAsia="仿宋_GB2312"/>
          <w:color w:val="auto"/>
          <w:sz w:val="32"/>
          <w:szCs w:val="32"/>
          <w:highlight w:val="none"/>
          <w:u w:val="none"/>
          <w:lang w:val="zh-TW"/>
        </w:rPr>
        <w:t>落实粮食安全党政同责，</w:t>
      </w:r>
      <w:r>
        <w:rPr>
          <w:rFonts w:hint="eastAsia" w:ascii="仿宋_GB2312" w:eastAsia="仿宋_GB2312"/>
          <w:color w:val="auto"/>
          <w:sz w:val="32"/>
          <w:szCs w:val="32"/>
          <w:highlight w:val="none"/>
          <w:u w:val="none"/>
        </w:rPr>
        <w:t>坚持“藏粮于地、藏粮于技”战略，</w:t>
      </w:r>
      <w:r>
        <w:rPr>
          <w:rFonts w:hint="eastAsia" w:ascii="仿宋_GB2312" w:eastAsia="仿宋_GB2312"/>
          <w:color w:val="auto"/>
          <w:sz w:val="32"/>
          <w:szCs w:val="32"/>
          <w:highlight w:val="none"/>
          <w:u w:val="none"/>
          <w:lang w:eastAsia="zh-CN"/>
        </w:rPr>
        <w:t>落实耕地地力保护补贴等支持政策，稳定粮食播种面积，</w:t>
      </w:r>
      <w:r>
        <w:rPr>
          <w:rFonts w:hint="eastAsia" w:ascii="仿宋_GB2312" w:hAnsi="仿宋_GB2312" w:eastAsia="仿宋_GB2312" w:cs="仿宋_GB2312"/>
          <w:color w:val="auto"/>
          <w:sz w:val="32"/>
          <w:szCs w:val="32"/>
          <w:highlight w:val="none"/>
          <w:u w:val="none"/>
        </w:rPr>
        <w:t>加强耕地数量、质量、生态“三位一体”保护，严格耕地总量管控和“以补定占”，</w:t>
      </w:r>
      <w:r>
        <w:rPr>
          <w:rFonts w:hint="eastAsia" w:ascii="仿宋_GB2312" w:hAnsi="Times New Roman" w:eastAsia="仿宋_GB2312" w:cs="仿宋_GB2312"/>
          <w:color w:val="auto"/>
          <w:sz w:val="32"/>
          <w:szCs w:val="32"/>
          <w:highlight w:val="none"/>
          <w:u w:val="none"/>
          <w:lang w:bidi="ar"/>
        </w:rPr>
        <w:t>分类有序做好耕地“非粮化”整改，</w:t>
      </w:r>
      <w:r>
        <w:rPr>
          <w:rFonts w:hint="eastAsia" w:ascii="仿宋_GB2312" w:hAnsi="Times New Roman" w:eastAsia="仿宋_GB2312" w:cs="仿宋_GB2312"/>
          <w:color w:val="auto"/>
          <w:sz w:val="32"/>
          <w:szCs w:val="32"/>
          <w:highlight w:val="none"/>
          <w:u w:val="none"/>
          <w:lang w:eastAsia="zh-CN" w:bidi="ar"/>
        </w:rPr>
        <w:t>保障粮食种植面积稳定在74.92万亩和粮食总产量稳定在30.94万吨</w:t>
      </w:r>
      <w:r>
        <w:rPr>
          <w:rFonts w:hint="eastAsia" w:ascii="仿宋_GB2312" w:hAnsi="Times New Roman" w:eastAsia="仿宋_GB2312" w:cs="仿宋_GB2312"/>
          <w:color w:val="auto"/>
          <w:sz w:val="32"/>
          <w:szCs w:val="32"/>
          <w:highlight w:val="none"/>
          <w:u w:val="none"/>
          <w:lang w:bidi="ar"/>
        </w:rPr>
        <w:t>。持续抓好高标准农田建设</w:t>
      </w:r>
      <w:r>
        <w:rPr>
          <w:rFonts w:hint="eastAsia" w:ascii="仿宋_GB2312" w:hAnsi="Times New Roman" w:eastAsia="仿宋_GB2312" w:cs="仿宋_GB2312"/>
          <w:color w:val="auto"/>
          <w:sz w:val="32"/>
          <w:szCs w:val="32"/>
          <w:highlight w:val="none"/>
          <w:u w:val="none"/>
          <w:lang w:eastAsia="zh-CN" w:bidi="ar"/>
        </w:rPr>
        <w:t>，</w:t>
      </w:r>
      <w:r>
        <w:rPr>
          <w:rFonts w:hint="eastAsia" w:ascii="仿宋_GB2312" w:hAnsi="Times New Roman" w:eastAsia="仿宋_GB2312" w:cs="仿宋_GB2312"/>
          <w:color w:val="auto"/>
          <w:sz w:val="32"/>
          <w:szCs w:val="32"/>
          <w:highlight w:val="none"/>
          <w:u w:val="none"/>
          <w:lang w:val="en-US" w:eastAsia="zh-CN" w:bidi="ar"/>
        </w:rPr>
        <w:t>积极实施全域土地综合整治</w:t>
      </w:r>
      <w:r>
        <w:rPr>
          <w:rFonts w:hint="eastAsia" w:ascii="仿宋_GB2312" w:hAnsi="Times New Roman" w:eastAsia="仿宋_GB2312" w:cs="仿宋_GB2312"/>
          <w:color w:val="auto"/>
          <w:sz w:val="32"/>
          <w:szCs w:val="32"/>
          <w:highlight w:val="none"/>
          <w:u w:val="none"/>
          <w:lang w:eastAsia="zh-CN" w:bidi="ar"/>
        </w:rPr>
        <w:t>，</w:t>
      </w:r>
      <w:r>
        <w:rPr>
          <w:rFonts w:hint="eastAsia" w:ascii="仿宋_GB2312" w:hAnsi="Times New Roman" w:eastAsia="仿宋_GB2312" w:cs="仿宋_GB2312"/>
          <w:color w:val="auto"/>
          <w:sz w:val="32"/>
          <w:szCs w:val="32"/>
          <w:highlight w:val="none"/>
          <w:u w:val="none"/>
          <w:lang w:bidi="ar"/>
        </w:rPr>
        <w:t>改造提升2018年之前已建高标准农田，解决部分高标准农田设施不配套、工程建设标准低等问题</w:t>
      </w:r>
      <w:r>
        <w:rPr>
          <w:rFonts w:hint="eastAsia" w:ascii="仿宋_GB2312" w:hAnsi="Times New Roman" w:eastAsia="仿宋_GB2312" w:cs="仿宋_GB2312"/>
          <w:color w:val="auto"/>
          <w:sz w:val="32"/>
          <w:szCs w:val="32"/>
          <w:highlight w:val="none"/>
          <w:u w:val="none"/>
          <w:lang w:eastAsia="zh-CN" w:bidi="ar"/>
        </w:rPr>
        <w:t>，</w:t>
      </w:r>
      <w:r>
        <w:rPr>
          <w:rFonts w:hint="eastAsia" w:ascii="仿宋_GB2312" w:hAnsi="Times New Roman" w:eastAsia="仿宋_GB2312" w:cs="仿宋_GB2312"/>
          <w:color w:val="auto"/>
          <w:sz w:val="32"/>
          <w:szCs w:val="32"/>
          <w:highlight w:val="none"/>
          <w:u w:val="none"/>
          <w:lang w:bidi="ar"/>
        </w:rPr>
        <w:t>到2030年</w:t>
      </w:r>
      <w:r>
        <w:rPr>
          <w:rFonts w:hint="eastAsia" w:ascii="仿宋_GB2312" w:hAnsi="Times New Roman" w:eastAsia="仿宋_GB2312" w:cs="仿宋_GB2312"/>
          <w:color w:val="auto"/>
          <w:sz w:val="32"/>
          <w:szCs w:val="32"/>
          <w:highlight w:val="none"/>
          <w:u w:val="none"/>
          <w:lang w:eastAsia="zh-CN" w:bidi="ar"/>
        </w:rPr>
        <w:t>，</w:t>
      </w:r>
      <w:r>
        <w:rPr>
          <w:rFonts w:hint="eastAsia" w:ascii="仿宋_GB2312" w:hAnsi="Times New Roman" w:eastAsia="仿宋_GB2312" w:cs="仿宋_GB2312"/>
          <w:color w:val="auto"/>
          <w:sz w:val="32"/>
          <w:szCs w:val="32"/>
          <w:highlight w:val="none"/>
          <w:u w:val="none"/>
          <w:lang w:val="en-US" w:eastAsia="zh-CN" w:bidi="ar"/>
        </w:rPr>
        <w:t>累计</w:t>
      </w:r>
      <w:r>
        <w:rPr>
          <w:rFonts w:hint="eastAsia" w:ascii="仿宋_GB2312" w:hAnsi="Times New Roman" w:eastAsia="仿宋_GB2312" w:cs="仿宋_GB2312"/>
          <w:color w:val="auto"/>
          <w:sz w:val="32"/>
          <w:szCs w:val="32"/>
          <w:highlight w:val="none"/>
          <w:u w:val="none"/>
          <w:lang w:bidi="ar"/>
        </w:rPr>
        <w:t>建</w:t>
      </w:r>
      <w:r>
        <w:rPr>
          <w:rFonts w:hint="eastAsia" w:ascii="仿宋_GB2312" w:hAnsi="Times New Roman" w:eastAsia="仿宋_GB2312" w:cs="仿宋_GB2312"/>
          <w:color w:val="auto"/>
          <w:sz w:val="32"/>
          <w:szCs w:val="32"/>
          <w:highlight w:val="none"/>
          <w:u w:val="none"/>
          <w:lang w:val="en-US" w:eastAsia="zh-CN" w:bidi="ar"/>
        </w:rPr>
        <w:t>成</w:t>
      </w:r>
      <w:r>
        <w:rPr>
          <w:rFonts w:hint="eastAsia" w:ascii="仿宋_GB2312" w:hAnsi="Times New Roman" w:eastAsia="仿宋_GB2312" w:cs="仿宋_GB2312"/>
          <w:color w:val="auto"/>
          <w:sz w:val="32"/>
          <w:szCs w:val="32"/>
          <w:highlight w:val="none"/>
          <w:u w:val="none"/>
          <w:lang w:bidi="ar"/>
        </w:rPr>
        <w:t>高标准农田44.41万亩</w:t>
      </w:r>
      <w:r>
        <w:rPr>
          <w:rFonts w:hint="eastAsia" w:ascii="仿宋_GB2312" w:hAnsi="Times New Roman" w:eastAsia="仿宋_GB2312" w:cs="仿宋_GB2312"/>
          <w:color w:val="auto"/>
          <w:sz w:val="32"/>
          <w:szCs w:val="32"/>
          <w:highlight w:val="none"/>
          <w:u w:val="none"/>
          <w:lang w:eastAsia="zh-CN" w:bidi="ar"/>
        </w:rPr>
        <w:t>。深入实施粮食</w:t>
      </w:r>
      <w:r>
        <w:rPr>
          <w:rFonts w:hint="eastAsia" w:ascii="仿宋_GB2312" w:hAnsi="Times New Roman" w:eastAsia="仿宋_GB2312" w:cs="仿宋_GB2312"/>
          <w:color w:val="auto"/>
          <w:sz w:val="32"/>
          <w:szCs w:val="32"/>
          <w:highlight w:val="none"/>
          <w:u w:val="none"/>
          <w:lang w:bidi="ar"/>
        </w:rPr>
        <w:t>单产提升行动，</w:t>
      </w:r>
      <w:r>
        <w:rPr>
          <w:rFonts w:hint="eastAsia" w:ascii="仿宋_GB2312" w:hAnsi="Times New Roman" w:eastAsia="仿宋_GB2312" w:cs="仿宋_GB2312"/>
          <w:color w:val="auto"/>
          <w:sz w:val="32"/>
          <w:szCs w:val="32"/>
          <w:highlight w:val="none"/>
          <w:u w:val="none"/>
          <w:lang w:eastAsia="zh-CN" w:bidi="ar"/>
        </w:rPr>
        <w:t>扎实</w:t>
      </w:r>
      <w:r>
        <w:rPr>
          <w:rFonts w:hint="eastAsia" w:ascii="仿宋_GB2312" w:hAnsi="Times New Roman" w:eastAsia="仿宋_GB2312" w:cs="仿宋_GB2312"/>
          <w:color w:val="auto"/>
          <w:sz w:val="32"/>
          <w:szCs w:val="32"/>
          <w:highlight w:val="none"/>
          <w:u w:val="none"/>
          <w:lang w:bidi="ar"/>
        </w:rPr>
        <w:t>开展“吨半粮”创建</w:t>
      </w:r>
      <w:r>
        <w:rPr>
          <w:rFonts w:hint="eastAsia" w:ascii="仿宋_GB2312" w:hAnsi="Times New Roman" w:eastAsia="仿宋_GB2312" w:cs="仿宋_GB2312"/>
          <w:color w:val="auto"/>
          <w:sz w:val="32"/>
          <w:szCs w:val="32"/>
          <w:highlight w:val="none"/>
          <w:u w:val="none"/>
          <w:lang w:eastAsia="zh-CN" w:bidi="ar"/>
        </w:rPr>
        <w:t>、粮油绿色高质高效行动、</w:t>
      </w:r>
      <w:r>
        <w:rPr>
          <w:rFonts w:hint="eastAsia" w:ascii="仿宋_GB2312" w:hAnsi="Times New Roman" w:eastAsia="仿宋_GB2312" w:cs="仿宋_GB2312"/>
          <w:color w:val="auto"/>
          <w:sz w:val="32"/>
          <w:szCs w:val="32"/>
          <w:highlight w:val="none"/>
          <w:u w:val="none"/>
          <w:lang w:val="en-US" w:eastAsia="zh-CN" w:bidi="ar"/>
        </w:rPr>
        <w:t>玉米小麦单产提升整建制推进县、台儿庄区智慧仓储等项目建设</w:t>
      </w:r>
      <w:r>
        <w:rPr>
          <w:rFonts w:hint="eastAsia" w:ascii="仿宋_GB2312" w:hAnsi="Times New Roman" w:eastAsia="仿宋_GB2312" w:cs="仿宋_GB2312"/>
          <w:color w:val="auto"/>
          <w:sz w:val="32"/>
          <w:szCs w:val="32"/>
          <w:highlight w:val="none"/>
          <w:u w:val="none"/>
          <w:lang w:bidi="ar"/>
        </w:rPr>
        <w:t>。实施优质粮食工程，</w:t>
      </w:r>
      <w:r>
        <w:rPr>
          <w:rFonts w:hint="eastAsia" w:ascii="仿宋_GB2312" w:hAnsi="Times New Roman" w:eastAsia="仿宋_GB2312" w:cs="仿宋_GB2312"/>
          <w:color w:val="auto"/>
          <w:sz w:val="32"/>
          <w:szCs w:val="32"/>
          <w:highlight w:val="none"/>
          <w:u w:val="none"/>
          <w:lang w:eastAsia="zh-CN" w:bidi="ar"/>
        </w:rPr>
        <w:t>稳妥推进高性能机械播种、滴灌水肥一体化、</w:t>
      </w:r>
      <w:r>
        <w:rPr>
          <w:rFonts w:hint="eastAsia" w:ascii="仿宋_GB2312" w:hAnsi="Times New Roman" w:eastAsia="仿宋_GB2312" w:cs="仿宋_GB2312"/>
          <w:color w:val="auto"/>
          <w:sz w:val="32"/>
          <w:szCs w:val="32"/>
          <w:highlight w:val="none"/>
          <w:u w:val="none"/>
          <w:lang w:bidi="ar"/>
        </w:rPr>
        <w:t>玉米密植精准调控</w:t>
      </w:r>
      <w:r>
        <w:rPr>
          <w:rFonts w:hint="eastAsia" w:ascii="仿宋_GB2312" w:hAnsi="Times New Roman" w:eastAsia="仿宋_GB2312" w:cs="仿宋_GB2312"/>
          <w:color w:val="auto"/>
          <w:sz w:val="32"/>
          <w:szCs w:val="32"/>
          <w:highlight w:val="none"/>
          <w:u w:val="none"/>
          <w:lang w:eastAsia="zh-CN" w:bidi="ar"/>
        </w:rPr>
        <w:t>等生产</w:t>
      </w:r>
      <w:r>
        <w:rPr>
          <w:rFonts w:hint="eastAsia" w:ascii="仿宋_GB2312" w:hAnsi="Times New Roman" w:eastAsia="仿宋_GB2312" w:cs="仿宋_GB2312"/>
          <w:color w:val="auto"/>
          <w:sz w:val="32"/>
          <w:szCs w:val="32"/>
          <w:highlight w:val="none"/>
          <w:u w:val="none"/>
          <w:lang w:bidi="ar"/>
        </w:rPr>
        <w:t>技术</w:t>
      </w:r>
      <w:r>
        <w:rPr>
          <w:rFonts w:hint="eastAsia" w:ascii="仿宋_GB2312" w:hAnsi="Times New Roman" w:eastAsia="仿宋_GB2312" w:cs="仿宋_GB2312"/>
          <w:color w:val="auto"/>
          <w:sz w:val="32"/>
          <w:szCs w:val="32"/>
          <w:highlight w:val="none"/>
          <w:u w:val="none"/>
          <w:lang w:eastAsia="zh-CN" w:bidi="ar"/>
        </w:rPr>
        <w:t>，提高粮食单产，稳步增加种植面积，持续推进节粮减损，</w:t>
      </w:r>
      <w:r>
        <w:rPr>
          <w:rFonts w:hint="eastAsia" w:ascii="仿宋_GB2312" w:hAnsi="Times New Roman" w:eastAsia="仿宋_GB2312" w:cs="仿宋_GB2312"/>
          <w:color w:val="auto"/>
          <w:sz w:val="32"/>
          <w:szCs w:val="32"/>
          <w:highlight w:val="none"/>
          <w:u w:val="none"/>
          <w:lang w:bidi="ar"/>
        </w:rPr>
        <w:t>促进</w:t>
      </w:r>
      <w:r>
        <w:rPr>
          <w:rFonts w:hint="eastAsia" w:ascii="仿宋_GB2312" w:hAnsi="Times New Roman" w:eastAsia="仿宋_GB2312" w:cs="仿宋_GB2312"/>
          <w:color w:val="auto"/>
          <w:sz w:val="32"/>
          <w:szCs w:val="32"/>
          <w:highlight w:val="none"/>
          <w:u w:val="none"/>
          <w:lang w:eastAsia="zh-CN" w:bidi="ar"/>
        </w:rPr>
        <w:t>粮食产能提升</w:t>
      </w:r>
      <w:r>
        <w:rPr>
          <w:rFonts w:hint="eastAsia" w:ascii="仿宋_GB2312" w:hAnsi="Times New Roman" w:eastAsia="仿宋_GB2312" w:cs="仿宋_GB2312"/>
          <w:color w:val="auto"/>
          <w:sz w:val="32"/>
          <w:szCs w:val="32"/>
          <w:highlight w:val="none"/>
          <w:u w:val="none"/>
          <w:lang w:bidi="ar"/>
        </w:rPr>
        <w:t>。</w:t>
      </w:r>
    </w:p>
    <w:p w14:paraId="673A6A1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b/>
          <w:bCs/>
          <w:color w:val="auto"/>
          <w:kern w:val="2"/>
          <w:sz w:val="32"/>
          <w:szCs w:val="32"/>
          <w:highlight w:val="none"/>
          <w:u w:val="none"/>
          <w:lang w:val="en-US" w:eastAsia="zh-CN" w:bidi="ar-SA"/>
        </w:rPr>
        <w:t>增加优质畜禽水产品供给。</w:t>
      </w:r>
      <w:r>
        <w:rPr>
          <w:rFonts w:hint="eastAsia" w:ascii="仿宋_GB2312" w:hAnsi="仿宋_GB2312" w:eastAsia="仿宋_GB2312" w:cs="仿宋_GB2312"/>
          <w:color w:val="auto"/>
          <w:sz w:val="32"/>
          <w:szCs w:val="32"/>
          <w:highlight w:val="none"/>
          <w:u w:val="none"/>
        </w:rPr>
        <w:t>坚持大食物观，实施畜</w:t>
      </w:r>
      <w:r>
        <w:rPr>
          <w:rFonts w:hint="eastAsia" w:ascii="仿宋_GB2312" w:hAnsi="仿宋_GB2312" w:eastAsia="仿宋_GB2312" w:cs="仿宋_GB2312"/>
          <w:color w:val="auto"/>
          <w:sz w:val="32"/>
          <w:szCs w:val="32"/>
          <w:highlight w:val="none"/>
          <w:u w:val="none"/>
          <w:lang w:val="en-US" w:eastAsia="zh-CN"/>
        </w:rPr>
        <w:t>禽</w:t>
      </w:r>
      <w:r>
        <w:rPr>
          <w:rFonts w:hint="eastAsia" w:ascii="仿宋_GB2312" w:hAnsi="仿宋_GB2312" w:eastAsia="仿宋_GB2312" w:cs="仿宋_GB2312"/>
          <w:color w:val="auto"/>
          <w:sz w:val="32"/>
          <w:szCs w:val="32"/>
          <w:highlight w:val="none"/>
          <w:u w:val="none"/>
        </w:rPr>
        <w:t>产品稳产保供计划，优化畜牧业结构，提高生猪核心产能，推进种养配套、农牧结合、生态循环，加强牧原生猪、良安祥和乳业等标准化建设，引导畜禽规模养殖场加快现代化装备普及应用，优化水产养殖空间布局</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推进鱼菜共生农光互补循环农业产业园、</w:t>
      </w:r>
      <w:r>
        <w:rPr>
          <w:rFonts w:hint="eastAsia" w:ascii="仿宋_GB2312" w:hAnsi="仿宋_GB2312" w:eastAsia="仿宋_GB2312" w:cs="仿宋_GB2312"/>
          <w:color w:val="auto"/>
          <w:sz w:val="32"/>
          <w:szCs w:val="32"/>
          <w:highlight w:val="none"/>
          <w:u w:val="none"/>
          <w:lang w:val="en-US" w:eastAsia="zh-CN"/>
        </w:rPr>
        <w:t>良安鲜达</w:t>
      </w:r>
      <w:r>
        <w:rPr>
          <w:rFonts w:hint="eastAsia" w:ascii="仿宋_GB2312" w:hAnsi="仿宋_GB2312" w:eastAsia="仿宋_GB2312" w:cs="仿宋_GB2312"/>
          <w:color w:val="auto"/>
          <w:sz w:val="32"/>
          <w:szCs w:val="32"/>
          <w:highlight w:val="none"/>
          <w:u w:val="none"/>
        </w:rPr>
        <w:t>工厂化循环水养殖</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CN"/>
        </w:rPr>
        <w:t>良安牧歌合同肉牛等</w:t>
      </w:r>
      <w:r>
        <w:rPr>
          <w:rFonts w:hint="eastAsia" w:ascii="仿宋_GB2312" w:hAnsi="仿宋_GB2312" w:eastAsia="仿宋_GB2312" w:cs="仿宋_GB2312"/>
          <w:color w:val="auto"/>
          <w:sz w:val="32"/>
          <w:szCs w:val="32"/>
          <w:highlight w:val="none"/>
          <w:u w:val="none"/>
        </w:rPr>
        <w:t>项目建设，</w:t>
      </w:r>
      <w:r>
        <w:rPr>
          <w:rFonts w:hint="eastAsia" w:ascii="仿宋_GB2312" w:hAnsi="仿宋_GB2312" w:eastAsia="仿宋_GB2312" w:cs="仿宋_GB2312"/>
          <w:color w:val="auto"/>
          <w:sz w:val="32"/>
          <w:szCs w:val="32"/>
          <w:highlight w:val="none"/>
          <w:u w:val="none"/>
          <w:lang w:val="en-US" w:eastAsia="zh-CN"/>
        </w:rPr>
        <w:t>大力发展现代高质高效畜牧和生态渔业，协同推进增殖、捕捞、加工和休闲渔业发展。</w:t>
      </w:r>
      <w:r>
        <w:rPr>
          <w:rFonts w:hint="eastAsia" w:ascii="仿宋_GB2312" w:hAnsi="仿宋_GB2312" w:eastAsia="仿宋_GB2312" w:cs="仿宋_GB2312"/>
          <w:color w:val="auto"/>
          <w:sz w:val="32"/>
          <w:szCs w:val="32"/>
          <w:highlight w:val="none"/>
          <w:u w:val="none"/>
        </w:rPr>
        <w:t>到2030年</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扶持培育10家以上规模化养殖示范场，全区畜禽饲养存栏量160万头（只），年出栏总量达500万头（只），肉蛋奶总产量稳定在7万吨以上</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水产品总产量稳定在1.2万吨以上</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CN"/>
        </w:rPr>
        <w:t>畜禽粪污资源化利用率达90%</w:t>
      </w:r>
      <w:r>
        <w:rPr>
          <w:rFonts w:hint="eastAsia" w:ascii="仿宋_GB2312" w:hAnsi="仿宋_GB2312" w:eastAsia="仿宋_GB2312" w:cs="仿宋_GB2312"/>
          <w:color w:val="auto"/>
          <w:sz w:val="32"/>
          <w:szCs w:val="32"/>
          <w:highlight w:val="none"/>
          <w:u w:val="none"/>
        </w:rPr>
        <w:t>。</w:t>
      </w:r>
    </w:p>
    <w:p w14:paraId="1CB33111">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Times New Roman" w:eastAsia="仿宋_GB2312" w:cs="仿宋_GB2312"/>
          <w:color w:val="auto"/>
          <w:sz w:val="32"/>
          <w:szCs w:val="32"/>
          <w:highlight w:val="none"/>
          <w:u w:val="none"/>
          <w:lang w:val="en-US" w:eastAsia="zh-CN" w:bidi="ar"/>
        </w:rPr>
      </w:pPr>
      <w:r>
        <w:rPr>
          <w:rFonts w:hint="eastAsia" w:ascii="仿宋_GB2312" w:hAnsi="仿宋_GB2312" w:eastAsia="仿宋_GB2312" w:cs="仿宋_GB2312"/>
          <w:b/>
          <w:bCs/>
          <w:color w:val="auto"/>
          <w:sz w:val="32"/>
          <w:szCs w:val="32"/>
          <w:highlight w:val="none"/>
          <w:u w:val="none"/>
        </w:rPr>
        <w:t>提升农业科技创新能力。</w:t>
      </w:r>
      <w:r>
        <w:rPr>
          <w:rFonts w:hint="eastAsia" w:ascii="仿宋_GB2312" w:hAnsi="Times New Roman" w:eastAsia="仿宋_GB2312" w:cs="仿宋_GB2312"/>
          <w:color w:val="auto"/>
          <w:sz w:val="32"/>
          <w:szCs w:val="32"/>
          <w:highlight w:val="none"/>
          <w:u w:val="none"/>
          <w:lang w:bidi="ar"/>
        </w:rPr>
        <w:t>实施农业良种工程和现代种业提升工程，积极与</w:t>
      </w:r>
      <w:r>
        <w:rPr>
          <w:rFonts w:hint="eastAsia" w:ascii="仿宋_GB2312" w:hAnsi="Times New Roman" w:eastAsia="仿宋_GB2312" w:cs="仿宋_GB2312"/>
          <w:color w:val="auto"/>
          <w:sz w:val="32"/>
          <w:szCs w:val="32"/>
          <w:highlight w:val="none"/>
          <w:u w:val="none"/>
          <w:lang w:val="en-US" w:eastAsia="zh-CN" w:bidi="ar"/>
        </w:rPr>
        <w:t>吉林大学、省农科院等</w:t>
      </w:r>
      <w:r>
        <w:rPr>
          <w:rFonts w:hint="eastAsia" w:ascii="仿宋_GB2312" w:hAnsi="Times New Roman" w:eastAsia="仿宋_GB2312" w:cs="仿宋_GB2312"/>
          <w:color w:val="auto"/>
          <w:sz w:val="32"/>
          <w:szCs w:val="32"/>
          <w:highlight w:val="none"/>
          <w:u w:val="none"/>
          <w:lang w:bidi="ar"/>
        </w:rPr>
        <w:t>省</w:t>
      </w:r>
      <w:r>
        <w:rPr>
          <w:rFonts w:hint="eastAsia" w:ascii="仿宋_GB2312" w:hAnsi="Times New Roman" w:eastAsia="仿宋_GB2312" w:cs="仿宋_GB2312"/>
          <w:color w:val="auto"/>
          <w:sz w:val="32"/>
          <w:szCs w:val="32"/>
          <w:highlight w:val="none"/>
          <w:u w:val="none"/>
          <w:lang w:eastAsia="zh-CN" w:bidi="ar"/>
        </w:rPr>
        <w:t>内外</w:t>
      </w:r>
      <w:r>
        <w:rPr>
          <w:rFonts w:hint="eastAsia" w:ascii="仿宋_GB2312" w:hAnsi="Times New Roman" w:eastAsia="仿宋_GB2312" w:cs="仿宋_GB2312"/>
          <w:color w:val="auto"/>
          <w:sz w:val="32"/>
          <w:szCs w:val="32"/>
          <w:highlight w:val="none"/>
          <w:u w:val="none"/>
          <w:lang w:bidi="ar"/>
        </w:rPr>
        <w:t>科研院</w:t>
      </w:r>
      <w:r>
        <w:rPr>
          <w:rFonts w:hint="eastAsia" w:ascii="仿宋_GB2312" w:hAnsi="Times New Roman" w:eastAsia="仿宋_GB2312" w:cs="仿宋_GB2312"/>
          <w:color w:val="auto"/>
          <w:sz w:val="32"/>
          <w:szCs w:val="32"/>
          <w:highlight w:val="none"/>
          <w:u w:val="none"/>
          <w:lang w:eastAsia="zh-CN" w:bidi="ar"/>
        </w:rPr>
        <w:t>校</w:t>
      </w:r>
      <w:r>
        <w:rPr>
          <w:rFonts w:hint="eastAsia" w:ascii="仿宋_GB2312" w:hAnsi="Times New Roman" w:eastAsia="仿宋_GB2312" w:cs="仿宋_GB2312"/>
          <w:color w:val="auto"/>
          <w:sz w:val="32"/>
          <w:szCs w:val="32"/>
          <w:highlight w:val="none"/>
          <w:u w:val="none"/>
          <w:lang w:bidi="ar"/>
        </w:rPr>
        <w:t>合作对接，加强功能性长茄等</w:t>
      </w:r>
      <w:r>
        <w:rPr>
          <w:rFonts w:hint="eastAsia" w:ascii="仿宋_GB2312" w:hAnsi="Times New Roman" w:eastAsia="仿宋_GB2312" w:cs="仿宋_GB2312"/>
          <w:color w:val="auto"/>
          <w:sz w:val="32"/>
          <w:szCs w:val="32"/>
          <w:highlight w:val="none"/>
          <w:u w:val="none"/>
          <w:lang w:val="en-US" w:eastAsia="zh-CN" w:bidi="ar"/>
        </w:rPr>
        <w:t>设施蔬菜</w:t>
      </w:r>
      <w:r>
        <w:rPr>
          <w:rFonts w:hint="eastAsia" w:ascii="仿宋_GB2312" w:hAnsi="Times New Roman" w:eastAsia="仿宋_GB2312" w:cs="仿宋_GB2312"/>
          <w:color w:val="auto"/>
          <w:sz w:val="32"/>
          <w:szCs w:val="32"/>
          <w:highlight w:val="none"/>
          <w:u w:val="none"/>
          <w:lang w:bidi="ar"/>
        </w:rPr>
        <w:t>新品种研发</w:t>
      </w:r>
      <w:r>
        <w:rPr>
          <w:rFonts w:hint="eastAsia" w:ascii="仿宋_GB2312" w:hAnsi="Times New Roman" w:eastAsia="仿宋_GB2312" w:cs="仿宋_GB2312"/>
          <w:color w:val="auto"/>
          <w:sz w:val="32"/>
          <w:szCs w:val="32"/>
          <w:highlight w:val="none"/>
          <w:u w:val="none"/>
          <w:lang w:val="en-US" w:eastAsia="zh-CN" w:bidi="ar"/>
        </w:rPr>
        <w:t>试验</w:t>
      </w:r>
      <w:r>
        <w:rPr>
          <w:rFonts w:hint="eastAsia" w:ascii="仿宋_GB2312" w:hAnsi="Times New Roman" w:eastAsia="仿宋_GB2312" w:cs="仿宋_GB2312"/>
          <w:color w:val="auto"/>
          <w:sz w:val="32"/>
          <w:szCs w:val="32"/>
          <w:highlight w:val="none"/>
          <w:u w:val="none"/>
          <w:lang w:bidi="ar"/>
        </w:rPr>
        <w:t>，建立产学研融合、育繁推一体的现代种业科技创新体系。实施重大农业科技项目联合攻关，强化种养殖技术和加工技术集成，加强动植物疫病等防治技术研究，探索生物良种繁育、高效农机、绿色投入品等领域推广创新。开展农业机械化示范创建和智慧农机创新，推进“全程全面、高质高效”农业机</w:t>
      </w:r>
      <w:r>
        <w:rPr>
          <w:rFonts w:hint="eastAsia" w:ascii="仿宋_GB2312" w:hAnsi="仿宋_GB2312" w:eastAsia="仿宋_GB2312" w:cs="仿宋_GB2312"/>
          <w:color w:val="auto"/>
          <w:sz w:val="32"/>
          <w:szCs w:val="32"/>
          <w:highlight w:val="none"/>
          <w:u w:val="none"/>
        </w:rPr>
        <w:t>械化。</w:t>
      </w:r>
      <w:r>
        <w:rPr>
          <w:rFonts w:hint="eastAsia" w:ascii="仿宋_GB2312" w:hAnsi="Times New Roman" w:eastAsia="仿宋_GB2312" w:cs="仿宋_GB2312"/>
          <w:color w:val="auto"/>
          <w:sz w:val="32"/>
          <w:szCs w:val="32"/>
          <w:highlight w:val="none"/>
          <w:u w:val="none"/>
          <w:lang w:bidi="ar"/>
        </w:rPr>
        <w:t>到2030年</w:t>
      </w:r>
      <w:r>
        <w:rPr>
          <w:rFonts w:hint="eastAsia" w:ascii="仿宋_GB2312" w:hAnsi="Times New Roman" w:eastAsia="仿宋_GB2312" w:cs="仿宋_GB2312"/>
          <w:color w:val="auto"/>
          <w:sz w:val="32"/>
          <w:szCs w:val="32"/>
          <w:highlight w:val="none"/>
          <w:u w:val="none"/>
          <w:lang w:eastAsia="zh-CN" w:bidi="ar"/>
        </w:rPr>
        <w:t>，</w:t>
      </w:r>
      <w:r>
        <w:rPr>
          <w:rFonts w:hint="eastAsia" w:ascii="仿宋_GB2312" w:hAnsi="Times New Roman" w:eastAsia="仿宋_GB2312" w:cs="仿宋_GB2312"/>
          <w:color w:val="auto"/>
          <w:sz w:val="32"/>
          <w:szCs w:val="32"/>
          <w:highlight w:val="none"/>
          <w:u w:val="none"/>
          <w:lang w:bidi="ar"/>
        </w:rPr>
        <w:t>建立蔬菜品种研发中心1处</w:t>
      </w:r>
      <w:r>
        <w:rPr>
          <w:rFonts w:hint="eastAsia" w:ascii="仿宋_GB2312" w:hAnsi="Times New Roman" w:eastAsia="仿宋_GB2312" w:cs="仿宋_GB2312"/>
          <w:color w:val="auto"/>
          <w:sz w:val="32"/>
          <w:szCs w:val="32"/>
          <w:highlight w:val="none"/>
          <w:u w:val="none"/>
          <w:lang w:eastAsia="zh-CN" w:bidi="ar"/>
        </w:rPr>
        <w:t>、</w:t>
      </w:r>
      <w:r>
        <w:rPr>
          <w:rFonts w:hint="eastAsia" w:ascii="仿宋_GB2312" w:hAnsi="Times New Roman" w:eastAsia="仿宋_GB2312" w:cs="仿宋_GB2312"/>
          <w:color w:val="auto"/>
          <w:sz w:val="32"/>
          <w:szCs w:val="32"/>
          <w:highlight w:val="none"/>
          <w:u w:val="none"/>
          <w:lang w:bidi="ar"/>
        </w:rPr>
        <w:t>培育“育繁推”一体化种业企业1</w:t>
      </w:r>
      <w:r>
        <w:rPr>
          <w:rFonts w:hint="eastAsia" w:ascii="仿宋_GB2312" w:hAnsi="Times New Roman" w:eastAsia="仿宋_GB2312" w:cs="仿宋_GB2312"/>
          <w:color w:val="auto"/>
          <w:sz w:val="32"/>
          <w:szCs w:val="32"/>
          <w:highlight w:val="none"/>
          <w:u w:val="none"/>
          <w:lang w:val="en-US" w:eastAsia="zh-CN" w:bidi="ar"/>
        </w:rPr>
        <w:t>家。</w:t>
      </w:r>
    </w:p>
    <w:p w14:paraId="7DA63639">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b/>
          <w:bCs/>
          <w:color w:val="auto"/>
          <w:sz w:val="32"/>
          <w:szCs w:val="32"/>
          <w:highlight w:val="none"/>
          <w:u w:val="none"/>
        </w:rPr>
        <w:t>强化农业防灾减灾。</w:t>
      </w:r>
      <w:r>
        <w:rPr>
          <w:rFonts w:hint="eastAsia" w:ascii="仿宋_GB2312" w:hAnsi="仿宋_GB2312" w:eastAsia="仿宋_GB2312" w:cs="仿宋_GB2312"/>
          <w:color w:val="auto"/>
          <w:sz w:val="32"/>
          <w:szCs w:val="32"/>
          <w:highlight w:val="none"/>
          <w:u w:val="none"/>
          <w:lang w:val="en-US" w:eastAsia="zh-CN" w:bidi="ar"/>
        </w:rPr>
        <w:t>持续</w:t>
      </w:r>
      <w:r>
        <w:rPr>
          <w:rFonts w:hint="eastAsia" w:ascii="仿宋_GB2312" w:hAnsi="仿宋_GB2312" w:eastAsia="仿宋_GB2312" w:cs="仿宋_GB2312"/>
          <w:color w:val="auto"/>
          <w:sz w:val="32"/>
          <w:szCs w:val="32"/>
          <w:highlight w:val="none"/>
          <w:u w:val="none"/>
          <w:lang w:bidi="ar"/>
        </w:rPr>
        <w:t>推进小麦、玉米</w:t>
      </w:r>
      <w:r>
        <w:rPr>
          <w:rFonts w:hint="eastAsia" w:ascii="仿宋_GB2312" w:hAnsi="仿宋_GB2312" w:eastAsia="仿宋_GB2312" w:cs="仿宋_GB2312"/>
          <w:color w:val="auto"/>
          <w:sz w:val="32"/>
          <w:szCs w:val="32"/>
          <w:highlight w:val="none"/>
          <w:u w:val="none"/>
          <w:lang w:eastAsia="zh-CN" w:bidi="ar"/>
        </w:rPr>
        <w:t>、</w:t>
      </w:r>
      <w:r>
        <w:rPr>
          <w:rFonts w:hint="eastAsia" w:ascii="仿宋_GB2312" w:hAnsi="仿宋_GB2312" w:eastAsia="仿宋_GB2312" w:cs="仿宋_GB2312"/>
          <w:color w:val="auto"/>
          <w:sz w:val="32"/>
          <w:szCs w:val="32"/>
          <w:highlight w:val="none"/>
          <w:u w:val="none"/>
          <w:lang w:val="en-US" w:eastAsia="zh-CN" w:bidi="ar"/>
        </w:rPr>
        <w:t>水稻</w:t>
      </w:r>
      <w:r>
        <w:rPr>
          <w:rFonts w:hint="eastAsia" w:ascii="仿宋_GB2312" w:hAnsi="仿宋_GB2312" w:eastAsia="仿宋_GB2312" w:cs="仿宋_GB2312"/>
          <w:color w:val="auto"/>
          <w:sz w:val="32"/>
          <w:szCs w:val="32"/>
          <w:highlight w:val="none"/>
          <w:u w:val="none"/>
          <w:lang w:eastAsia="zh-CN" w:bidi="ar"/>
        </w:rPr>
        <w:t>等</w:t>
      </w:r>
      <w:r>
        <w:rPr>
          <w:rFonts w:hint="eastAsia" w:ascii="仿宋_GB2312" w:hAnsi="仿宋_GB2312" w:eastAsia="仿宋_GB2312" w:cs="仿宋_GB2312"/>
          <w:color w:val="auto"/>
          <w:sz w:val="32"/>
          <w:szCs w:val="32"/>
          <w:highlight w:val="none"/>
          <w:u w:val="none"/>
          <w:lang w:val="en-US" w:eastAsia="zh-CN" w:bidi="ar"/>
        </w:rPr>
        <w:t>农业</w:t>
      </w:r>
      <w:r>
        <w:rPr>
          <w:rFonts w:hint="eastAsia" w:ascii="仿宋_GB2312" w:hAnsi="仿宋_GB2312" w:eastAsia="仿宋_GB2312" w:cs="仿宋_GB2312"/>
          <w:color w:val="auto"/>
          <w:sz w:val="32"/>
          <w:szCs w:val="32"/>
          <w:highlight w:val="none"/>
          <w:u w:val="none"/>
          <w:lang w:eastAsia="zh-CN" w:bidi="ar"/>
        </w:rPr>
        <w:t>政策性</w:t>
      </w:r>
      <w:r>
        <w:rPr>
          <w:rFonts w:hint="eastAsia" w:ascii="仿宋_GB2312" w:hAnsi="仿宋_GB2312" w:eastAsia="仿宋_GB2312" w:cs="仿宋_GB2312"/>
          <w:color w:val="auto"/>
          <w:sz w:val="32"/>
          <w:szCs w:val="32"/>
          <w:highlight w:val="none"/>
          <w:u w:val="none"/>
          <w:lang w:bidi="ar"/>
        </w:rPr>
        <w:t>保险覆盖</w:t>
      </w:r>
      <w:r>
        <w:rPr>
          <w:rFonts w:hint="eastAsia" w:ascii="仿宋_GB2312" w:hAnsi="仿宋_GB2312" w:eastAsia="仿宋_GB2312" w:cs="仿宋_GB2312"/>
          <w:color w:val="auto"/>
          <w:sz w:val="32"/>
          <w:szCs w:val="32"/>
          <w:highlight w:val="none"/>
          <w:u w:val="none"/>
          <w:lang w:val="en-US" w:eastAsia="zh-CN" w:bidi="ar"/>
        </w:rPr>
        <w:t>率</w:t>
      </w:r>
      <w:r>
        <w:rPr>
          <w:rFonts w:hint="eastAsia" w:ascii="仿宋_GB2312" w:hAnsi="仿宋_GB2312" w:eastAsia="仿宋_GB2312" w:cs="仿宋_GB2312"/>
          <w:color w:val="auto"/>
          <w:sz w:val="32"/>
          <w:szCs w:val="32"/>
          <w:highlight w:val="none"/>
          <w:u w:val="none"/>
          <w:lang w:bidi="ar"/>
        </w:rPr>
        <w:t>。完善</w:t>
      </w:r>
      <w:r>
        <w:rPr>
          <w:rFonts w:hint="eastAsia" w:ascii="仿宋_GB2312" w:hAnsi="仿宋_GB2312" w:eastAsia="仿宋_GB2312" w:cs="仿宋_GB2312"/>
          <w:color w:val="auto"/>
          <w:sz w:val="32"/>
          <w:szCs w:val="32"/>
          <w:highlight w:val="none"/>
          <w:u w:val="none"/>
          <w:lang w:val="en-US" w:eastAsia="zh-CN" w:bidi="ar"/>
        </w:rPr>
        <w:t>农业、</w:t>
      </w:r>
      <w:r>
        <w:rPr>
          <w:rFonts w:hint="eastAsia" w:ascii="仿宋_GB2312" w:hAnsi="仿宋_GB2312" w:eastAsia="仿宋_GB2312" w:cs="仿宋_GB2312"/>
          <w:color w:val="auto"/>
          <w:sz w:val="32"/>
          <w:szCs w:val="32"/>
          <w:highlight w:val="none"/>
          <w:u w:val="none"/>
          <w:lang w:bidi="ar"/>
        </w:rPr>
        <w:t>气象</w:t>
      </w:r>
      <w:r>
        <w:rPr>
          <w:rFonts w:hint="eastAsia" w:ascii="仿宋_GB2312" w:hAnsi="仿宋_GB2312" w:eastAsia="仿宋_GB2312" w:cs="仿宋_GB2312"/>
          <w:color w:val="auto"/>
          <w:sz w:val="32"/>
          <w:szCs w:val="32"/>
          <w:highlight w:val="none"/>
          <w:u w:val="none"/>
          <w:lang w:val="en-US" w:eastAsia="zh-CN" w:bidi="ar"/>
        </w:rPr>
        <w:t>等</w:t>
      </w:r>
      <w:r>
        <w:rPr>
          <w:rFonts w:hint="eastAsia" w:ascii="仿宋_GB2312" w:hAnsi="仿宋_GB2312" w:eastAsia="仿宋_GB2312" w:cs="仿宋_GB2312"/>
          <w:color w:val="auto"/>
          <w:sz w:val="32"/>
          <w:szCs w:val="32"/>
          <w:highlight w:val="none"/>
          <w:u w:val="none"/>
          <w:lang w:bidi="ar"/>
        </w:rPr>
        <w:t>部门</w:t>
      </w:r>
      <w:r>
        <w:rPr>
          <w:rFonts w:hint="eastAsia" w:ascii="仿宋_GB2312" w:hAnsi="仿宋_GB2312" w:eastAsia="仿宋_GB2312" w:cs="仿宋_GB2312"/>
          <w:color w:val="auto"/>
          <w:sz w:val="32"/>
          <w:szCs w:val="32"/>
          <w:highlight w:val="none"/>
          <w:u w:val="none"/>
          <w:lang w:eastAsia="zh-CN" w:bidi="ar"/>
        </w:rPr>
        <w:t>的</w:t>
      </w:r>
      <w:r>
        <w:rPr>
          <w:rFonts w:hint="eastAsia" w:ascii="仿宋_GB2312" w:hAnsi="仿宋_GB2312" w:eastAsia="仿宋_GB2312" w:cs="仿宋_GB2312"/>
          <w:color w:val="auto"/>
          <w:sz w:val="32"/>
          <w:szCs w:val="32"/>
          <w:highlight w:val="none"/>
          <w:u w:val="none"/>
          <w:lang w:bidi="ar"/>
        </w:rPr>
        <w:t>预警联动机制，</w:t>
      </w:r>
      <w:r>
        <w:rPr>
          <w:rFonts w:hint="eastAsia" w:ascii="仿宋_GB2312" w:hAnsi="仿宋_GB2312" w:eastAsia="仿宋_GB2312" w:cs="仿宋_GB2312"/>
          <w:color w:val="auto"/>
          <w:sz w:val="32"/>
          <w:szCs w:val="32"/>
          <w:highlight w:val="none"/>
          <w:u w:val="none"/>
        </w:rPr>
        <w:t>加强灾害风险监测预警预报</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bidi="ar"/>
        </w:rPr>
        <w:t>建立</w:t>
      </w:r>
      <w:r>
        <w:rPr>
          <w:rFonts w:hint="eastAsia" w:ascii="仿宋_GB2312" w:hAnsi="仿宋_GB2312" w:eastAsia="仿宋_GB2312" w:cs="仿宋_GB2312"/>
          <w:color w:val="auto"/>
          <w:sz w:val="32"/>
          <w:szCs w:val="32"/>
          <w:highlight w:val="none"/>
          <w:u w:val="none"/>
          <w:lang w:val="en-US" w:eastAsia="zh-CN" w:bidi="ar"/>
        </w:rPr>
        <w:t>健全</w:t>
      </w:r>
      <w:r>
        <w:rPr>
          <w:rFonts w:hint="eastAsia" w:ascii="仿宋_GB2312" w:hAnsi="仿宋_GB2312" w:eastAsia="仿宋_GB2312" w:cs="仿宋_GB2312"/>
          <w:color w:val="auto"/>
          <w:sz w:val="32"/>
          <w:szCs w:val="32"/>
          <w:highlight w:val="none"/>
          <w:u w:val="none"/>
          <w:lang w:bidi="ar"/>
        </w:rPr>
        <w:t>农业苗情、墒情、虫情、灾情“四情”一体化监测预警</w:t>
      </w:r>
      <w:r>
        <w:rPr>
          <w:rFonts w:hint="eastAsia" w:ascii="仿宋_GB2312" w:hAnsi="仿宋_GB2312" w:eastAsia="仿宋_GB2312" w:cs="仿宋_GB2312"/>
          <w:color w:val="auto"/>
          <w:sz w:val="32"/>
          <w:szCs w:val="32"/>
          <w:highlight w:val="none"/>
          <w:u w:val="none"/>
          <w:lang w:val="en-US" w:eastAsia="zh-CN" w:bidi="ar"/>
        </w:rPr>
        <w:t>体系</w:t>
      </w:r>
      <w:r>
        <w:rPr>
          <w:rFonts w:hint="eastAsia" w:ascii="仿宋_GB2312" w:hAnsi="仿宋_GB2312" w:eastAsia="仿宋_GB2312" w:cs="仿宋_GB2312"/>
          <w:color w:val="auto"/>
          <w:sz w:val="32"/>
          <w:szCs w:val="32"/>
          <w:highlight w:val="none"/>
          <w:u w:val="none"/>
          <w:lang w:bidi="ar"/>
        </w:rPr>
        <w:t>，</w:t>
      </w:r>
      <w:r>
        <w:rPr>
          <w:rFonts w:hint="eastAsia" w:ascii="仿宋_GB2312" w:hAnsi="仿宋_GB2312" w:eastAsia="仿宋_GB2312" w:cs="仿宋_GB2312"/>
          <w:color w:val="auto"/>
          <w:sz w:val="32"/>
          <w:szCs w:val="32"/>
          <w:highlight w:val="none"/>
          <w:u w:val="none"/>
        </w:rPr>
        <w:t>做好农作物</w:t>
      </w:r>
      <w:r>
        <w:rPr>
          <w:rFonts w:hint="eastAsia" w:ascii="仿宋_GB2312" w:hAnsi="仿宋_GB2312" w:eastAsia="仿宋_GB2312" w:cs="仿宋_GB2312"/>
          <w:color w:val="auto"/>
          <w:sz w:val="32"/>
          <w:szCs w:val="32"/>
          <w:highlight w:val="none"/>
          <w:u w:val="none"/>
          <w:lang w:val="en-US" w:eastAsia="zh-CN"/>
        </w:rPr>
        <w:t>重大</w:t>
      </w:r>
      <w:r>
        <w:rPr>
          <w:rFonts w:hint="eastAsia" w:ascii="仿宋_GB2312" w:hAnsi="仿宋_GB2312" w:eastAsia="仿宋_GB2312" w:cs="仿宋_GB2312"/>
          <w:color w:val="auto"/>
          <w:sz w:val="32"/>
          <w:szCs w:val="32"/>
          <w:highlight w:val="none"/>
          <w:u w:val="none"/>
        </w:rPr>
        <w:t>病虫害监测预警，</w:t>
      </w:r>
      <w:r>
        <w:rPr>
          <w:rFonts w:hint="eastAsia" w:ascii="仿宋_GB2312" w:hAnsi="仿宋_GB2312" w:eastAsia="仿宋_GB2312" w:cs="仿宋_GB2312"/>
          <w:color w:val="auto"/>
          <w:sz w:val="32"/>
          <w:szCs w:val="32"/>
          <w:highlight w:val="none"/>
          <w:u w:val="none"/>
          <w:lang w:bidi="ar"/>
        </w:rPr>
        <w:t>扎实推进</w:t>
      </w:r>
      <w:r>
        <w:rPr>
          <w:rFonts w:hint="eastAsia" w:ascii="仿宋_GB2312" w:hAnsi="仿宋_GB2312" w:eastAsia="仿宋_GB2312" w:cs="仿宋_GB2312"/>
          <w:color w:val="auto"/>
          <w:sz w:val="32"/>
          <w:szCs w:val="32"/>
          <w:highlight w:val="none"/>
          <w:u w:val="none"/>
          <w:lang w:val="en-US" w:eastAsia="zh-CN" w:bidi="ar"/>
        </w:rPr>
        <w:t>农作物</w:t>
      </w:r>
      <w:r>
        <w:rPr>
          <w:rFonts w:hint="eastAsia" w:ascii="仿宋_GB2312" w:hAnsi="仿宋_GB2312" w:eastAsia="仿宋_GB2312" w:cs="仿宋_GB2312"/>
          <w:color w:val="auto"/>
          <w:sz w:val="32"/>
          <w:szCs w:val="32"/>
          <w:highlight w:val="none"/>
          <w:u w:val="none"/>
          <w:lang w:bidi="ar"/>
        </w:rPr>
        <w:t>统防统治、绿色防控，</w:t>
      </w:r>
      <w:r>
        <w:rPr>
          <w:rFonts w:hint="eastAsia" w:ascii="仿宋_GB2312" w:hAnsi="仿宋_GB2312" w:eastAsia="仿宋_GB2312" w:cs="仿宋_GB2312"/>
          <w:color w:val="auto"/>
          <w:sz w:val="32"/>
          <w:szCs w:val="32"/>
          <w:highlight w:val="none"/>
          <w:u w:val="none"/>
        </w:rPr>
        <w:t>最大程度减轻灾害损失</w:t>
      </w:r>
      <w:r>
        <w:rPr>
          <w:rFonts w:hint="eastAsia" w:ascii="仿宋_GB2312" w:hAnsi="仿宋_GB2312" w:eastAsia="仿宋_GB2312" w:cs="仿宋_GB2312"/>
          <w:color w:val="auto"/>
          <w:sz w:val="32"/>
          <w:szCs w:val="32"/>
          <w:highlight w:val="none"/>
          <w:u w:val="none"/>
          <w:lang w:bidi="ar"/>
        </w:rPr>
        <w:t>。</w:t>
      </w:r>
      <w:r>
        <w:rPr>
          <w:rFonts w:hint="eastAsia" w:ascii="仿宋_GB2312" w:hAnsi="仿宋_GB2312" w:eastAsia="仿宋_GB2312" w:cs="仿宋_GB2312"/>
          <w:color w:val="auto"/>
          <w:sz w:val="32"/>
          <w:szCs w:val="32"/>
          <w:highlight w:val="none"/>
          <w:u w:val="none"/>
        </w:rPr>
        <w:t>推进农田水利设施建设和沟渠整治，</w:t>
      </w:r>
      <w:r>
        <w:rPr>
          <w:rFonts w:hint="eastAsia" w:ascii="仿宋_GB2312" w:hAnsi="仿宋_GB2312" w:eastAsia="仿宋_GB2312" w:cs="仿宋_GB2312"/>
          <w:color w:val="auto"/>
          <w:sz w:val="32"/>
          <w:szCs w:val="32"/>
          <w:highlight w:val="none"/>
          <w:u w:val="none"/>
          <w:lang w:eastAsia="zh-CN"/>
        </w:rPr>
        <w:t>及时</w:t>
      </w:r>
      <w:r>
        <w:rPr>
          <w:rFonts w:hint="eastAsia" w:ascii="仿宋_GB2312" w:hAnsi="仿宋_GB2312" w:eastAsia="仿宋_GB2312" w:cs="仿宋_GB2312"/>
          <w:color w:val="auto"/>
          <w:sz w:val="32"/>
          <w:szCs w:val="32"/>
          <w:highlight w:val="none"/>
          <w:u w:val="none"/>
        </w:rPr>
        <w:t>修复灾毁农田及灌排设施</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CN"/>
        </w:rPr>
        <w:t>优化农业防灾减灾体系建设，强化部门联动和信息沟通</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auto"/>
          <w:sz w:val="32"/>
          <w:szCs w:val="32"/>
          <w:highlight w:val="none"/>
          <w:u w:val="none"/>
          <w:lang w:val="en-US" w:eastAsia="zh-CN"/>
        </w:rPr>
        <w:t>到2030年，基本建立高效协调的</w:t>
      </w:r>
      <w:bookmarkStart w:id="32" w:name="_Toc22528"/>
      <w:r>
        <w:rPr>
          <w:rFonts w:hint="eastAsia" w:ascii="仿宋_GB2312" w:hAnsi="仿宋_GB2312" w:eastAsia="仿宋_GB2312" w:cs="仿宋_GB2312"/>
          <w:color w:val="auto"/>
          <w:sz w:val="32"/>
          <w:szCs w:val="32"/>
          <w:highlight w:val="none"/>
          <w:u w:val="none"/>
          <w:lang w:val="en-US" w:eastAsia="zh-CN"/>
        </w:rPr>
        <w:t>农业防灾减灾长效机制</w:t>
      </w:r>
      <w:r>
        <w:rPr>
          <w:rFonts w:hint="eastAsia" w:ascii="仿宋_GB2312" w:hAnsi="仿宋_GB2312" w:eastAsia="仿宋_GB2312" w:cs="仿宋_GB2312"/>
          <w:color w:val="auto"/>
          <w:sz w:val="32"/>
          <w:szCs w:val="32"/>
          <w:highlight w:val="none"/>
          <w:u w:val="none"/>
          <w:lang w:eastAsia="zh-CN"/>
        </w:rPr>
        <w:t>。</w:t>
      </w:r>
    </w:p>
    <w:p w14:paraId="2A1B1C2E">
      <w:pPr>
        <w:pStyle w:val="6"/>
        <w:bidi w:val="0"/>
        <w:rPr>
          <w:rFonts w:hint="eastAsia"/>
          <w:color w:val="auto"/>
          <w:highlight w:val="none"/>
        </w:rPr>
      </w:pPr>
      <w:bookmarkStart w:id="33" w:name="_Toc12120"/>
      <w:r>
        <w:rPr>
          <w:rFonts w:hint="eastAsia"/>
          <w:color w:val="auto"/>
          <w:highlight w:val="none"/>
        </w:rPr>
        <w:t>第二节 做大做强特色优势农业</w:t>
      </w:r>
      <w:bookmarkEnd w:id="32"/>
      <w:bookmarkEnd w:id="33"/>
    </w:p>
    <w:p w14:paraId="48443D0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auto"/>
          <w:sz w:val="32"/>
          <w:szCs w:val="32"/>
          <w:highlight w:val="none"/>
          <w:u w:val="none"/>
        </w:rPr>
      </w:pPr>
      <w:r>
        <w:rPr>
          <w:rFonts w:hint="eastAsia" w:ascii="仿宋_GB2312" w:hAnsi="Calibri" w:eastAsia="仿宋_GB2312" w:cs="Times New Roman"/>
          <w:b/>
          <w:color w:val="auto"/>
          <w:kern w:val="2"/>
          <w:sz w:val="32"/>
          <w:szCs w:val="32"/>
          <w:highlight w:val="none"/>
          <w:u w:val="none"/>
          <w:lang w:val="en-US" w:eastAsia="zh-CN" w:bidi="ar-SA"/>
        </w:rPr>
        <w:t>做好“土特产”文章。</w:t>
      </w:r>
      <w:r>
        <w:rPr>
          <w:rFonts w:hint="eastAsia" w:ascii="仿宋_GB2312" w:hAnsi="仿宋_GB2312" w:eastAsia="仿宋_GB2312" w:cs="仿宋_GB2312"/>
          <w:color w:val="auto"/>
          <w:sz w:val="32"/>
          <w:szCs w:val="32"/>
          <w:highlight w:val="none"/>
          <w:u w:val="none"/>
        </w:rPr>
        <w:t>坚持“一镇一业、一村一品”，结合全区农业发展实际，做好镇域产业特色文章。重点发展设施蔬菜、食用菌、优质水稻、甜桃、苗木花卉、现代渔业、板材加工、奶牛等特色产业。大力发展长茄种植，种植面积</w:t>
      </w:r>
      <w:r>
        <w:rPr>
          <w:rFonts w:hint="eastAsia" w:ascii="仿宋_GB2312" w:hAnsi="仿宋_GB2312" w:eastAsia="仿宋_GB2312" w:cs="仿宋_GB2312"/>
          <w:color w:val="auto"/>
          <w:sz w:val="32"/>
          <w:szCs w:val="32"/>
          <w:highlight w:val="none"/>
          <w:u w:val="none"/>
          <w:lang w:val="en-US" w:eastAsia="zh-CN"/>
        </w:rPr>
        <w:t>达</w:t>
      </w:r>
      <w:r>
        <w:rPr>
          <w:rFonts w:hint="eastAsia" w:ascii="仿宋_GB2312" w:hAnsi="仿宋_GB2312" w:eastAsia="仿宋_GB2312" w:cs="仿宋_GB2312"/>
          <w:color w:val="auto"/>
          <w:sz w:val="32"/>
          <w:szCs w:val="32"/>
          <w:highlight w:val="none"/>
          <w:u w:val="none"/>
        </w:rPr>
        <w:t>1.5万亩</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大力发展食用菌种植，</w:t>
      </w:r>
      <w:r>
        <w:rPr>
          <w:rFonts w:hint="eastAsia" w:ascii="仿宋_GB2312" w:hAnsi="仿宋_GB2312" w:eastAsia="仿宋_GB2312" w:cs="仿宋_GB2312"/>
          <w:color w:val="auto"/>
          <w:sz w:val="32"/>
          <w:szCs w:val="32"/>
          <w:highlight w:val="none"/>
          <w:u w:val="none"/>
          <w:lang w:val="en-US" w:eastAsia="zh-CN"/>
        </w:rPr>
        <w:t>积极推进日产15万只食用菌自动化生产示范厂项目，</w:t>
      </w:r>
      <w:r>
        <w:rPr>
          <w:rFonts w:hint="eastAsia" w:ascii="仿宋_GB2312" w:hAnsi="仿宋_GB2312" w:eastAsia="仿宋_GB2312" w:cs="仿宋_GB2312"/>
          <w:color w:val="auto"/>
          <w:sz w:val="32"/>
          <w:szCs w:val="32"/>
          <w:highlight w:val="none"/>
          <w:u w:val="none"/>
        </w:rPr>
        <w:t>种植面积</w:t>
      </w:r>
      <w:r>
        <w:rPr>
          <w:rFonts w:hint="eastAsia" w:ascii="仿宋_GB2312" w:hAnsi="仿宋_GB2312" w:eastAsia="仿宋_GB2312" w:cs="仿宋_GB2312"/>
          <w:color w:val="auto"/>
          <w:sz w:val="32"/>
          <w:szCs w:val="32"/>
          <w:highlight w:val="none"/>
          <w:u w:val="none"/>
          <w:lang w:val="en-US" w:eastAsia="zh-CN"/>
        </w:rPr>
        <w:t>达</w:t>
      </w:r>
      <w:r>
        <w:rPr>
          <w:rFonts w:hint="eastAsia" w:ascii="仿宋_GB2312" w:hAnsi="仿宋_GB2312" w:eastAsia="仿宋_GB2312" w:cs="仿宋_GB2312"/>
          <w:color w:val="auto"/>
          <w:sz w:val="32"/>
          <w:szCs w:val="32"/>
          <w:highlight w:val="none"/>
          <w:u w:val="none"/>
        </w:rPr>
        <w:t>1万亩，</w:t>
      </w:r>
      <w:r>
        <w:rPr>
          <w:rFonts w:hint="eastAsia" w:ascii="仿宋_GB2312" w:hAnsi="仿宋_GB2312" w:eastAsia="仿宋_GB2312" w:cs="仿宋_GB2312"/>
          <w:color w:val="auto"/>
          <w:sz w:val="32"/>
          <w:szCs w:val="32"/>
          <w:highlight w:val="none"/>
          <w:u w:val="none"/>
          <w:lang w:eastAsia="zh-CN"/>
        </w:rPr>
        <w:t>打造食用菌产业园。积极鼓励甜桃种植和品种改良更新，</w:t>
      </w:r>
      <w:r>
        <w:rPr>
          <w:rFonts w:hint="eastAsia" w:ascii="仿宋_GB2312" w:hAnsi="仿宋_GB2312" w:eastAsia="仿宋_GB2312" w:cs="仿宋_GB2312"/>
          <w:color w:val="auto"/>
          <w:sz w:val="32"/>
          <w:szCs w:val="32"/>
          <w:highlight w:val="none"/>
          <w:u w:val="none"/>
        </w:rPr>
        <w:t>全区甜桃种植面积</w:t>
      </w:r>
      <w:r>
        <w:rPr>
          <w:rFonts w:hint="eastAsia" w:ascii="仿宋_GB2312" w:hAnsi="仿宋_GB2312" w:eastAsia="仿宋_GB2312" w:cs="仿宋_GB2312"/>
          <w:color w:val="auto"/>
          <w:sz w:val="32"/>
          <w:szCs w:val="32"/>
          <w:highlight w:val="none"/>
          <w:u w:val="none"/>
          <w:lang w:val="en-US" w:eastAsia="zh-CN"/>
        </w:rPr>
        <w:t>达</w:t>
      </w:r>
      <w:r>
        <w:rPr>
          <w:rFonts w:hint="eastAsia" w:ascii="仿宋_GB2312" w:hAnsi="仿宋_GB2312" w:eastAsia="仿宋_GB2312" w:cs="仿宋_GB2312"/>
          <w:color w:val="auto"/>
          <w:sz w:val="32"/>
          <w:szCs w:val="32"/>
          <w:highlight w:val="none"/>
          <w:u w:val="none"/>
        </w:rPr>
        <w:t>1万亩</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创新发展具有民族和地域特色的乡村手工业，围绕“原字号”开发市场适销对路的新产品。推动特色产业品种改良、品质提升、品牌打造，建设一批富有特色、规模适中、辐射带动力强的特色产业集聚区。到2030年，争创</w:t>
      </w:r>
      <w:r>
        <w:rPr>
          <w:rFonts w:hint="eastAsia" w:ascii="仿宋_GB2312" w:hAnsi="仿宋_GB2312" w:eastAsia="仿宋_GB2312" w:cs="仿宋_GB2312"/>
          <w:color w:val="auto"/>
          <w:sz w:val="32"/>
          <w:szCs w:val="32"/>
          <w:highlight w:val="none"/>
          <w:u w:val="none"/>
          <w:lang w:eastAsia="zh-CN"/>
        </w:rPr>
        <w:t>国家</w:t>
      </w:r>
      <w:r>
        <w:rPr>
          <w:rFonts w:hint="eastAsia" w:ascii="仿宋_GB2312" w:hAnsi="仿宋_GB2312" w:eastAsia="仿宋_GB2312" w:cs="仿宋_GB2312"/>
          <w:color w:val="auto"/>
          <w:sz w:val="32"/>
          <w:szCs w:val="32"/>
          <w:highlight w:val="none"/>
          <w:u w:val="none"/>
        </w:rPr>
        <w:t>农业现代化</w:t>
      </w:r>
      <w:r>
        <w:rPr>
          <w:rFonts w:hint="eastAsia" w:ascii="仿宋_GB2312" w:hAnsi="仿宋_GB2312" w:eastAsia="仿宋_GB2312" w:cs="仿宋_GB2312"/>
          <w:color w:val="auto"/>
          <w:sz w:val="32"/>
          <w:szCs w:val="32"/>
          <w:highlight w:val="none"/>
          <w:u w:val="none"/>
          <w:lang w:eastAsia="zh-CN"/>
        </w:rPr>
        <w:t>示范区、</w:t>
      </w:r>
      <w:r>
        <w:rPr>
          <w:rFonts w:hint="eastAsia" w:ascii="仿宋_GB2312" w:hAnsi="仿宋_GB2312" w:eastAsia="仿宋_GB2312" w:cs="仿宋_GB2312"/>
          <w:color w:val="auto"/>
          <w:sz w:val="32"/>
          <w:szCs w:val="32"/>
          <w:highlight w:val="none"/>
          <w:u w:val="none"/>
        </w:rPr>
        <w:t>国家</w:t>
      </w:r>
      <w:r>
        <w:rPr>
          <w:rFonts w:hint="eastAsia" w:ascii="仿宋_GB2312" w:hAnsi="仿宋_GB2312" w:eastAsia="仿宋_GB2312" w:cs="仿宋_GB2312"/>
          <w:color w:val="auto"/>
          <w:sz w:val="32"/>
          <w:szCs w:val="32"/>
          <w:highlight w:val="none"/>
          <w:u w:val="none"/>
          <w:lang w:eastAsia="zh-CN"/>
        </w:rPr>
        <w:t>现代</w:t>
      </w:r>
      <w:r>
        <w:rPr>
          <w:rFonts w:hint="eastAsia" w:ascii="仿宋_GB2312" w:hAnsi="仿宋_GB2312" w:eastAsia="仿宋_GB2312" w:cs="仿宋_GB2312"/>
          <w:color w:val="auto"/>
          <w:sz w:val="32"/>
          <w:szCs w:val="32"/>
          <w:highlight w:val="none"/>
          <w:u w:val="none"/>
        </w:rPr>
        <w:t>农业产业园</w:t>
      </w:r>
      <w:r>
        <w:rPr>
          <w:rFonts w:hint="eastAsia" w:ascii="仿宋_GB2312" w:hAnsi="仿宋_GB2312" w:eastAsia="仿宋_GB2312" w:cs="仿宋_GB2312"/>
          <w:color w:val="auto"/>
          <w:sz w:val="32"/>
          <w:szCs w:val="32"/>
          <w:highlight w:val="none"/>
          <w:u w:val="none"/>
          <w:lang w:eastAsia="zh-CN"/>
        </w:rPr>
        <w:t>、国家产业强镇各</w:t>
      </w:r>
      <w:r>
        <w:rPr>
          <w:rFonts w:hint="eastAsia" w:ascii="仿宋_GB2312" w:hAnsi="仿宋_GB2312" w:eastAsia="仿宋_GB2312" w:cs="仿宋_GB2312"/>
          <w:color w:val="auto"/>
          <w:sz w:val="32"/>
          <w:szCs w:val="32"/>
          <w:highlight w:val="none"/>
          <w:u w:val="none"/>
        </w:rPr>
        <w:t>1个。</w:t>
      </w:r>
    </w:p>
    <w:p w14:paraId="13014D37">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eastAsia="仿宋_GB2312"/>
          <w:color w:val="auto"/>
          <w:sz w:val="32"/>
          <w:szCs w:val="32"/>
          <w:highlight w:val="none"/>
          <w:u w:val="none"/>
          <w:lang w:val="en-US" w:eastAsia="zh-CN"/>
        </w:rPr>
      </w:pPr>
      <w:r>
        <w:rPr>
          <w:rFonts w:hint="eastAsia" w:ascii="仿宋_GB2312" w:eastAsia="仿宋_GB2312"/>
          <w:b/>
          <w:color w:val="auto"/>
          <w:sz w:val="32"/>
          <w:szCs w:val="32"/>
          <w:highlight w:val="none"/>
          <w:u w:val="none"/>
        </w:rPr>
        <w:t>培育农业产业化企业。</w:t>
      </w:r>
      <w:r>
        <w:rPr>
          <w:rFonts w:hint="eastAsia" w:ascii="仿宋_GB2312" w:eastAsia="仿宋_GB2312"/>
          <w:color w:val="auto"/>
          <w:sz w:val="32"/>
          <w:szCs w:val="32"/>
          <w:highlight w:val="none"/>
          <w:u w:val="none"/>
          <w:lang w:val="en-US" w:eastAsia="zh-CN"/>
        </w:rPr>
        <w:t>发挥农产品加工企业核心作用，大力发展农产品初加工、精深加工及综合利用，推动产业链向前后端延伸、向上下游拓展。深入实施龙头企业提振行动，推动供销合作事业高质量发展，打造乡村振兴生力军，优选基础好、成长性强、有望升规的潜力企业，跟踪靠上服务，实行梯次培育。到2030年，培育新增市级以上农业产业化龙头企业10家以上，高质高效农业产业链企业发展到90家以上，规模以上农产品加工企业达到55家以上，积极争创国家级农业产业化龙头企业1家。</w:t>
      </w:r>
    </w:p>
    <w:p w14:paraId="6A3FEB66">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Calibri" w:eastAsia="仿宋_GB2312" w:cs="Times New Roman"/>
          <w:b w:val="0"/>
          <w:bCs/>
          <w:color w:val="auto"/>
          <w:kern w:val="2"/>
          <w:sz w:val="32"/>
          <w:szCs w:val="32"/>
          <w:highlight w:val="none"/>
          <w:u w:val="none"/>
          <w:lang w:val="en-US" w:eastAsia="zh-CN" w:bidi="ar-SA"/>
        </w:rPr>
      </w:pPr>
      <w:r>
        <w:rPr>
          <w:rFonts w:hint="eastAsia" w:ascii="仿宋_GB2312" w:hAnsi="Calibri" w:eastAsia="仿宋_GB2312" w:cs="Times New Roman"/>
          <w:b/>
          <w:color w:val="auto"/>
          <w:kern w:val="2"/>
          <w:sz w:val="32"/>
          <w:szCs w:val="32"/>
          <w:highlight w:val="none"/>
          <w:u w:val="none"/>
          <w:lang w:val="en-US" w:eastAsia="zh-CN" w:bidi="ar-SA"/>
        </w:rPr>
        <w:t>加强标准质量品牌建设。</w:t>
      </w:r>
      <w:r>
        <w:rPr>
          <w:rFonts w:hint="eastAsia" w:ascii="仿宋_GB2312" w:hAnsi="Calibri" w:eastAsia="仿宋_GB2312" w:cs="Times New Roman"/>
          <w:b w:val="0"/>
          <w:bCs/>
          <w:color w:val="auto"/>
          <w:kern w:val="2"/>
          <w:sz w:val="32"/>
          <w:szCs w:val="32"/>
          <w:highlight w:val="none"/>
          <w:u w:val="none"/>
          <w:lang w:val="en-US" w:eastAsia="zh-CN" w:bidi="ar-SA"/>
        </w:rPr>
        <w:t>加强农产品“三品一标”建设，全面推进食用农产品合格证制度，健全农产品质量安全监测机制，加强农产品质量追溯体系和信用体系建设，推动“从农田到餐桌”全过程可追溯管理。加大农产品品牌市场开发，挖掘品牌内涵，强化品牌营销，深化展销对接，支持经营主体参加“好品山东”推广、全国农交会等重要展会活动，举办农产品推介展销活动，拓宽推广渠道，营造良好的消费氛围。到2030年，新增“三品一标”农产品数量10个以上，积极申报国家地理标志产品1个以上，提升市场美誉度和影响力。</w:t>
      </w:r>
    </w:p>
    <w:p w14:paraId="118E5E71">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eastAsia="仿宋_GB2312"/>
          <w:color w:val="auto"/>
          <w:sz w:val="32"/>
          <w:szCs w:val="32"/>
          <w:highlight w:val="none"/>
          <w:u w:val="none"/>
        </w:rPr>
      </w:pPr>
      <w:r>
        <w:rPr>
          <w:rFonts w:hint="eastAsia" w:ascii="仿宋_GB2312" w:hAnsi="Calibri" w:eastAsia="仿宋_GB2312" w:cs="Times New Roman"/>
          <w:b/>
          <w:color w:val="auto"/>
          <w:kern w:val="2"/>
          <w:sz w:val="32"/>
          <w:szCs w:val="32"/>
          <w:highlight w:val="none"/>
          <w:u w:val="none"/>
          <w:lang w:val="en-US" w:eastAsia="zh-CN" w:bidi="ar-SA"/>
        </w:rPr>
        <w:t>大力发展智慧农业</w:t>
      </w:r>
      <w:r>
        <w:rPr>
          <w:rFonts w:hint="eastAsia" w:ascii="仿宋_GB2312" w:eastAsia="仿宋_GB2312" w:cs="Times New Roman"/>
          <w:b/>
          <w:color w:val="auto"/>
          <w:kern w:val="2"/>
          <w:sz w:val="32"/>
          <w:szCs w:val="32"/>
          <w:highlight w:val="none"/>
          <w:u w:val="none"/>
          <w:lang w:val="en-US" w:eastAsia="zh-CN" w:bidi="ar-SA"/>
        </w:rPr>
        <w:t>。</w:t>
      </w:r>
      <w:r>
        <w:rPr>
          <w:rFonts w:hint="eastAsia" w:ascii="仿宋_GB2312" w:hAnsi="Calibri" w:eastAsia="仿宋_GB2312" w:cs="Times New Roman"/>
          <w:b w:val="0"/>
          <w:bCs/>
          <w:color w:val="auto"/>
          <w:kern w:val="2"/>
          <w:sz w:val="32"/>
          <w:szCs w:val="32"/>
          <w:highlight w:val="none"/>
          <w:u w:val="none"/>
          <w:lang w:val="en-US" w:eastAsia="zh-CN" w:bidi="ar-SA"/>
        </w:rPr>
        <w:t>加快农业产业数字化提升，推进农</w:t>
      </w:r>
      <w:r>
        <w:rPr>
          <w:rFonts w:hint="eastAsia" w:ascii="仿宋_GB2312" w:eastAsia="仿宋_GB2312"/>
          <w:color w:val="auto"/>
          <w:sz w:val="32"/>
          <w:szCs w:val="32"/>
          <w:highlight w:val="none"/>
          <w:u w:val="none"/>
          <w:lang w:val="en-US" w:eastAsia="zh-CN"/>
        </w:rPr>
        <w:t>业数字化、数据产业化，建设农业农村大数据平台。大力发展智慧农机装备，通过农机购置补贴，降低农户购机成本，提升农业生产效率，</w:t>
      </w:r>
      <w:r>
        <w:rPr>
          <w:rFonts w:hint="eastAsia" w:ascii="仿宋_GB2312" w:eastAsia="仿宋_GB2312" w:cs="Times New Roman"/>
          <w:color w:val="auto"/>
          <w:sz w:val="32"/>
          <w:szCs w:val="32"/>
          <w:highlight w:val="none"/>
          <w:u w:val="none"/>
          <w:lang w:val="en-US" w:eastAsia="zh-CN"/>
        </w:rPr>
        <w:t>推进万亩智慧农田和农作物重大病虫害监测预警体系建设。到2030年，创建</w:t>
      </w:r>
      <w:r>
        <w:rPr>
          <w:rFonts w:hint="eastAsia" w:ascii="仿宋_GB2312" w:eastAsia="仿宋_GB2312"/>
          <w:color w:val="auto"/>
          <w:sz w:val="32"/>
          <w:szCs w:val="32"/>
          <w:highlight w:val="none"/>
          <w:u w:val="none"/>
          <w:lang w:val="en-US" w:eastAsia="zh-CN"/>
        </w:rPr>
        <w:t>农业智慧数字化示范基地30个</w:t>
      </w:r>
      <w:r>
        <w:rPr>
          <w:rFonts w:hint="eastAsia" w:ascii="仿宋_GB2312" w:eastAsia="仿宋_GB2312"/>
          <w:color w:val="auto"/>
          <w:sz w:val="32"/>
          <w:szCs w:val="32"/>
          <w:highlight w:val="none"/>
          <w:u w:val="none"/>
        </w:rPr>
        <w:t>以上</w:t>
      </w:r>
      <w:r>
        <w:rPr>
          <w:rFonts w:hint="eastAsia" w:ascii="仿宋_GB2312" w:eastAsia="仿宋_GB2312"/>
          <w:color w:val="auto"/>
          <w:sz w:val="32"/>
          <w:szCs w:val="32"/>
          <w:highlight w:val="none"/>
          <w:u w:val="none"/>
          <w:lang w:val="en-US" w:eastAsia="zh-CN"/>
        </w:rPr>
        <w:t>，农业信息化应用率65%以上</w:t>
      </w:r>
      <w:r>
        <w:rPr>
          <w:rFonts w:hint="eastAsia" w:ascii="仿宋_GB2312" w:eastAsia="仿宋_GB2312" w:cs="Times New Roman"/>
          <w:color w:val="auto"/>
          <w:sz w:val="32"/>
          <w:szCs w:val="32"/>
          <w:highlight w:val="none"/>
          <w:u w:val="none"/>
          <w:lang w:val="en-US" w:eastAsia="zh-CN"/>
        </w:rPr>
        <w:t>，建成台儿庄区数字农业现代农事综合服务中心1处</w:t>
      </w:r>
      <w:r>
        <w:rPr>
          <w:rFonts w:hint="eastAsia" w:ascii="仿宋_GB2312" w:hAnsi="Times New Roman" w:eastAsia="仿宋_GB2312" w:cs="仿宋_GB2312"/>
          <w:color w:val="auto"/>
          <w:sz w:val="32"/>
          <w:szCs w:val="32"/>
          <w:highlight w:val="none"/>
          <w:u w:val="none"/>
          <w:lang w:val="en-US" w:eastAsia="zh-CN" w:bidi="ar"/>
        </w:rPr>
        <w:t>、智能农业机器人研发制造企业1家。</w:t>
      </w:r>
    </w:p>
    <w:p w14:paraId="6298D817">
      <w:pPr>
        <w:pStyle w:val="6"/>
        <w:bidi w:val="0"/>
        <w:rPr>
          <w:rFonts w:hint="eastAsia"/>
          <w:color w:val="auto"/>
          <w:highlight w:val="none"/>
        </w:rPr>
      </w:pPr>
      <w:bookmarkStart w:id="34" w:name="_Toc28155"/>
      <w:bookmarkStart w:id="35" w:name="_Toc1799"/>
      <w:r>
        <w:rPr>
          <w:rFonts w:hint="eastAsia"/>
          <w:color w:val="auto"/>
          <w:highlight w:val="none"/>
        </w:rPr>
        <w:t>第三节 建设宜居宜业和美乡村</w:t>
      </w:r>
      <w:bookmarkEnd w:id="34"/>
      <w:bookmarkEnd w:id="35"/>
    </w:p>
    <w:p w14:paraId="6263C517">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eastAsia="仿宋_GB2312" w:cs="Times New Roman"/>
          <w:color w:val="auto"/>
          <w:sz w:val="32"/>
          <w:szCs w:val="32"/>
          <w:highlight w:val="none"/>
          <w:u w:val="none"/>
        </w:rPr>
      </w:pPr>
      <w:r>
        <w:rPr>
          <w:rFonts w:hint="eastAsia" w:ascii="仿宋_GB2312" w:eastAsia="仿宋_GB2312"/>
          <w:b/>
          <w:color w:val="auto"/>
          <w:sz w:val="32"/>
          <w:szCs w:val="32"/>
          <w:highlight w:val="none"/>
          <w:u w:val="none"/>
        </w:rPr>
        <w:t>推进片区建设提质扩面。</w:t>
      </w:r>
      <w:r>
        <w:rPr>
          <w:rFonts w:hint="eastAsia" w:ascii="仿宋_GB2312" w:eastAsia="仿宋_GB2312" w:cs="Times New Roman"/>
          <w:color w:val="auto"/>
          <w:sz w:val="32"/>
          <w:szCs w:val="32"/>
          <w:highlight w:val="none"/>
          <w:u w:val="none"/>
        </w:rPr>
        <w:t>坚持“打造一个片区、做强一个产业、带富一方百姓”，全力推动片区提质、产业提优、建设提档、治理提效</w:t>
      </w:r>
      <w:r>
        <w:rPr>
          <w:rFonts w:hint="eastAsia" w:ascii="仿宋_GB2312" w:eastAsia="仿宋_GB2312" w:cs="Times New Roman"/>
          <w:color w:val="auto"/>
          <w:sz w:val="32"/>
          <w:szCs w:val="32"/>
          <w:highlight w:val="none"/>
          <w:u w:val="none"/>
          <w:lang w:eastAsia="zh-CN"/>
        </w:rPr>
        <w:t>，</w:t>
      </w:r>
      <w:r>
        <w:rPr>
          <w:rFonts w:hint="eastAsia" w:ascii="仿宋_GB2312" w:eastAsia="仿宋_GB2312" w:cs="Times New Roman"/>
          <w:color w:val="auto"/>
          <w:sz w:val="32"/>
          <w:szCs w:val="32"/>
          <w:highlight w:val="none"/>
          <w:u w:val="none"/>
          <w:lang w:val="en-US" w:eastAsia="zh-CN"/>
        </w:rPr>
        <w:t>集中打造“菇韵兰祺”“花渠蔬香”“稻香桃韵”等一批乡村振兴示范片区</w:t>
      </w:r>
      <w:r>
        <w:rPr>
          <w:rFonts w:hint="eastAsia" w:ascii="仿宋_GB2312" w:eastAsia="仿宋_GB2312" w:cs="Times New Roman"/>
          <w:color w:val="auto"/>
          <w:sz w:val="32"/>
          <w:szCs w:val="32"/>
          <w:highlight w:val="none"/>
          <w:u w:val="none"/>
        </w:rPr>
        <w:t>。实施乡村振兴片区全域实体化提升行动，因地制宜、突出特色，深化抓片促村带户，推动片区建设连片成带、交织成网，构建省市区三级梯次推进的实施格局。统筹资源政策向片区聚集，持续推动国企、金融机构等助力乡村振兴，深化党建联建与产业融合，探索片区市场化、专业化运营机制，推动农村资源资产与外来要素良好对接、放大效益。到2030年，建成省市级示范片区10个以上。</w:t>
      </w:r>
    </w:p>
    <w:p w14:paraId="53CC0E69">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eastAsia="仿宋_GB2312"/>
          <w:color w:val="auto"/>
          <w:sz w:val="32"/>
          <w:szCs w:val="32"/>
          <w:highlight w:val="none"/>
          <w:u w:val="none"/>
        </w:rPr>
      </w:pPr>
      <w:r>
        <w:rPr>
          <w:rFonts w:hint="eastAsia" w:ascii="仿宋_GB2312" w:eastAsia="仿宋_GB2312"/>
          <w:b/>
          <w:color w:val="auto"/>
          <w:sz w:val="32"/>
          <w:szCs w:val="32"/>
          <w:highlight w:val="none"/>
          <w:u w:val="none"/>
        </w:rPr>
        <w:t>打造台儿庄特色乡村风貌。</w:t>
      </w:r>
      <w:r>
        <w:rPr>
          <w:rFonts w:hint="eastAsia" w:ascii="仿宋_GB2312" w:eastAsia="仿宋_GB2312"/>
          <w:color w:val="auto"/>
          <w:sz w:val="32"/>
          <w:szCs w:val="32"/>
          <w:highlight w:val="none"/>
          <w:u w:val="none"/>
        </w:rPr>
        <w:t>深入学习运用“千万工程”经验，聚焦农村人居环境整治与和美乡村建设两大核心任务，加快农文旅深度融合，推进艺术赋能乡村旅游高质量发展，</w:t>
      </w:r>
      <w:r>
        <w:rPr>
          <w:rFonts w:hint="eastAsia" w:ascii="仿宋_GB2312" w:eastAsia="仿宋_GB2312" w:cs="Times New Roman"/>
          <w:color w:val="auto"/>
          <w:sz w:val="32"/>
          <w:szCs w:val="32"/>
          <w:highlight w:val="none"/>
          <w:u w:val="none"/>
        </w:rPr>
        <w:t>推动建设一批富有乡村气息，与自然环境协调，美观大方、色彩适宜的田园建筑。</w:t>
      </w:r>
      <w:r>
        <w:rPr>
          <w:rFonts w:hint="eastAsia" w:ascii="仿宋_GB2312" w:eastAsia="仿宋_GB2312"/>
          <w:color w:val="auto"/>
          <w:sz w:val="32"/>
          <w:szCs w:val="32"/>
          <w:highlight w:val="none"/>
          <w:u w:val="none"/>
        </w:rPr>
        <w:t>对标先进地区，在精细化、标准化上下功夫，由“清脏治乱”向“美化绿化”拓展，建设立足乡土社会、富有地域特色、承载田园乡愁、体现现代文明的和美乡村。到2030年，建成省市级和美乡村示范村100个、和美乡村提升村200个。</w:t>
      </w:r>
    </w:p>
    <w:p w14:paraId="634A0C14">
      <w:pPr>
        <w:pStyle w:val="6"/>
        <w:bidi w:val="0"/>
        <w:rPr>
          <w:rFonts w:hint="eastAsia"/>
          <w:color w:val="auto"/>
          <w:highlight w:val="none"/>
        </w:rPr>
      </w:pPr>
      <w:bookmarkStart w:id="36" w:name="_Toc12766"/>
      <w:bookmarkStart w:id="37" w:name="_Toc27153"/>
      <w:r>
        <w:rPr>
          <w:rFonts w:hint="eastAsia"/>
          <w:color w:val="auto"/>
          <w:highlight w:val="none"/>
        </w:rPr>
        <w:t>第四节 完善强农惠农富农政策</w:t>
      </w:r>
      <w:bookmarkEnd w:id="36"/>
      <w:bookmarkEnd w:id="37"/>
    </w:p>
    <w:p w14:paraId="27A8AB33">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default"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b/>
          <w:bCs/>
          <w:color w:val="auto"/>
          <w:sz w:val="32"/>
          <w:szCs w:val="32"/>
          <w:highlight w:val="none"/>
          <w:u w:val="none"/>
        </w:rPr>
        <w:t>巩固完善农村基本经营制度。</w:t>
      </w:r>
      <w:r>
        <w:rPr>
          <w:rFonts w:hint="eastAsia" w:ascii="仿宋_GB2312" w:hAnsi="仿宋_GB2312" w:eastAsia="仿宋_GB2312" w:cs="仿宋_GB2312"/>
          <w:color w:val="auto"/>
          <w:sz w:val="32"/>
          <w:szCs w:val="32"/>
          <w:highlight w:val="none"/>
          <w:u w:val="none"/>
          <w:lang w:eastAsia="zh-CN"/>
        </w:rPr>
        <w:t>扎实有序推</w:t>
      </w:r>
      <w:r>
        <w:rPr>
          <w:rFonts w:hint="eastAsia" w:ascii="仿宋_GB2312" w:hAnsi="仿宋_GB2312" w:eastAsia="仿宋_GB2312" w:cs="仿宋_GB2312"/>
          <w:color w:val="auto"/>
          <w:sz w:val="32"/>
          <w:szCs w:val="32"/>
          <w:highlight w:val="none"/>
          <w:u w:val="none"/>
        </w:rPr>
        <w:t>进第</w:t>
      </w:r>
      <w:r>
        <w:rPr>
          <w:rFonts w:hint="eastAsia" w:ascii="仿宋_GB2312" w:hAnsi="仿宋_GB2312" w:eastAsia="仿宋_GB2312" w:cs="仿宋_GB2312"/>
          <w:color w:val="auto"/>
          <w:sz w:val="32"/>
          <w:szCs w:val="32"/>
          <w:highlight w:val="none"/>
          <w:u w:val="none"/>
          <w:lang w:eastAsia="zh-CN"/>
        </w:rPr>
        <w:t>二</w:t>
      </w:r>
      <w:r>
        <w:rPr>
          <w:rFonts w:hint="eastAsia" w:ascii="仿宋_GB2312" w:hAnsi="仿宋_GB2312" w:eastAsia="仿宋_GB2312" w:cs="仿宋_GB2312"/>
          <w:color w:val="auto"/>
          <w:sz w:val="32"/>
          <w:szCs w:val="32"/>
          <w:highlight w:val="none"/>
          <w:u w:val="none"/>
        </w:rPr>
        <w:t>轮土地承包</w:t>
      </w:r>
      <w:r>
        <w:rPr>
          <w:rFonts w:hint="eastAsia" w:ascii="仿宋_GB2312" w:hAnsi="仿宋_GB2312" w:eastAsia="仿宋_GB2312" w:cs="仿宋_GB2312"/>
          <w:color w:val="auto"/>
          <w:sz w:val="32"/>
          <w:szCs w:val="32"/>
          <w:highlight w:val="none"/>
          <w:u w:val="none"/>
          <w:lang w:eastAsia="zh-CN"/>
        </w:rPr>
        <w:t>到期后稳定顺利延包</w:t>
      </w:r>
      <w:r>
        <w:rPr>
          <w:rFonts w:hint="eastAsia" w:ascii="仿宋_GB2312" w:hAnsi="仿宋_GB2312" w:eastAsia="仿宋_GB2312" w:cs="仿宋_GB2312"/>
          <w:color w:val="auto"/>
          <w:sz w:val="32"/>
          <w:szCs w:val="32"/>
          <w:highlight w:val="none"/>
          <w:u w:val="none"/>
        </w:rPr>
        <w:t>，深化承包地所有权、承包权、经营权“三权分置”改革，健全承包地经营权流转价格形成机制，</w:t>
      </w:r>
      <w:r>
        <w:rPr>
          <w:rFonts w:hint="eastAsia" w:ascii="仿宋_GB2312" w:hAnsi="仿宋_GB2312" w:eastAsia="仿宋_GB2312" w:cs="仿宋_GB2312"/>
          <w:color w:val="auto"/>
          <w:sz w:val="32"/>
          <w:szCs w:val="32"/>
          <w:highlight w:val="none"/>
          <w:u w:val="none"/>
          <w:lang w:eastAsia="zh-CN"/>
        </w:rPr>
        <w:t>稳步发展多种形式的适度规模经营，着力完善现代农业经营体系，培育多元新型农业经营主体，健全完善农业社会化服务体系，促进小农户和现代农业发展有机衔接。</w:t>
      </w:r>
      <w:r>
        <w:rPr>
          <w:rFonts w:hint="eastAsia" w:ascii="仿宋_GB2312" w:hAnsi="仿宋_GB2312" w:eastAsia="仿宋_GB2312" w:cs="仿宋_GB2312"/>
          <w:color w:val="auto"/>
          <w:sz w:val="32"/>
          <w:szCs w:val="32"/>
          <w:highlight w:val="none"/>
          <w:u w:val="none"/>
          <w:lang w:val="en-US" w:eastAsia="zh-CN"/>
        </w:rPr>
        <w:t>到2030年，新增合作社、家庭农场等新型农业经营主体50家以上，积极推进土地适度规模经营，力争全区土地适度规模化率达50%。</w:t>
      </w:r>
    </w:p>
    <w:p w14:paraId="0BBEEF78">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ascii="仿宋_GB2312" w:hAnsi="仿宋_GB2312" w:eastAsia="仿宋_GB2312" w:cs="仿宋_GB2312"/>
          <w:color w:val="auto"/>
          <w:sz w:val="32"/>
          <w:szCs w:val="32"/>
          <w:highlight w:val="none"/>
          <w:u w:val="none"/>
        </w:rPr>
      </w:pPr>
      <w:r>
        <w:rPr>
          <w:rFonts w:hint="eastAsia" w:ascii="仿宋_GB2312" w:hAnsi="仿宋_GB2312" w:eastAsia="仿宋_GB2312" w:cs="仿宋_GB2312"/>
          <w:b/>
          <w:bCs/>
          <w:color w:val="auto"/>
          <w:sz w:val="32"/>
          <w:szCs w:val="32"/>
          <w:highlight w:val="none"/>
          <w:u w:val="none"/>
          <w:lang w:eastAsia="zh-CN"/>
        </w:rPr>
        <w:t>深化农村集体产权制度改革。</w:t>
      </w:r>
      <w:r>
        <w:rPr>
          <w:rFonts w:hint="eastAsia" w:ascii="仿宋_GB2312" w:hAnsi="仿宋_GB2312" w:eastAsia="仿宋_GB2312" w:cs="仿宋_GB2312"/>
          <w:color w:val="auto"/>
          <w:sz w:val="32"/>
          <w:szCs w:val="32"/>
          <w:highlight w:val="none"/>
          <w:u w:val="none"/>
          <w:lang w:eastAsia="zh-CN"/>
        </w:rPr>
        <w:t>依法推进</w:t>
      </w:r>
      <w:r>
        <w:rPr>
          <w:rFonts w:hint="eastAsia" w:ascii="仿宋_GB2312" w:hAnsi="仿宋_GB2312" w:eastAsia="仿宋_GB2312" w:cs="仿宋_GB2312"/>
          <w:color w:val="auto"/>
          <w:sz w:val="32"/>
          <w:szCs w:val="32"/>
          <w:highlight w:val="none"/>
          <w:u w:val="none"/>
        </w:rPr>
        <w:t>农村集体经济组织规范运行</w:t>
      </w:r>
      <w:r>
        <w:rPr>
          <w:rFonts w:hint="eastAsia" w:ascii="仿宋_GB2312" w:hAnsi="仿宋_GB2312" w:eastAsia="仿宋_GB2312" w:cs="仿宋_GB2312"/>
          <w:color w:val="auto"/>
          <w:sz w:val="32"/>
          <w:szCs w:val="32"/>
          <w:highlight w:val="none"/>
          <w:u w:val="none"/>
          <w:lang w:eastAsia="zh-CN"/>
        </w:rPr>
        <w:t>，推进</w:t>
      </w:r>
      <w:r>
        <w:rPr>
          <w:rFonts w:hint="eastAsia" w:ascii="仿宋_GB2312" w:hAnsi="仿宋_GB2312" w:eastAsia="仿宋_GB2312" w:cs="仿宋_GB2312"/>
          <w:color w:val="auto"/>
          <w:sz w:val="32"/>
          <w:szCs w:val="32"/>
          <w:highlight w:val="none"/>
          <w:u w:val="none"/>
        </w:rPr>
        <w:t>农村集体产权交易</w:t>
      </w:r>
      <w:r>
        <w:rPr>
          <w:rFonts w:hint="eastAsia" w:ascii="仿宋_GB2312" w:hAnsi="仿宋_GB2312" w:eastAsia="仿宋_GB2312" w:cs="仿宋_GB2312"/>
          <w:color w:val="auto"/>
          <w:sz w:val="32"/>
          <w:szCs w:val="32"/>
          <w:highlight w:val="none"/>
          <w:u w:val="none"/>
          <w:lang w:eastAsia="zh-CN"/>
        </w:rPr>
        <w:t>规范化建设</w:t>
      </w:r>
      <w:r>
        <w:rPr>
          <w:rFonts w:hint="eastAsia" w:ascii="仿宋_GB2312" w:hAnsi="仿宋_GB2312" w:eastAsia="仿宋_GB2312" w:cs="仿宋_GB2312"/>
          <w:color w:val="auto"/>
          <w:sz w:val="32"/>
          <w:szCs w:val="32"/>
          <w:highlight w:val="none"/>
          <w:u w:val="none"/>
        </w:rPr>
        <w:t>，完善农村集体“三资”管理体制机制，探索发展壮大新型农村集体经济的新路径新模式，建</w:t>
      </w:r>
      <w:r>
        <w:rPr>
          <w:rFonts w:hint="eastAsia" w:ascii="仿宋_GB2312" w:hAnsi="仿宋_GB2312" w:eastAsia="仿宋_GB2312" w:cs="仿宋_GB2312"/>
          <w:color w:val="auto"/>
          <w:sz w:val="32"/>
          <w:szCs w:val="32"/>
          <w:highlight w:val="none"/>
          <w:u w:val="none"/>
          <w:lang w:eastAsia="zh-CN"/>
        </w:rPr>
        <w:t>立</w:t>
      </w:r>
      <w:r>
        <w:rPr>
          <w:rFonts w:hint="eastAsia" w:ascii="仿宋_GB2312" w:hAnsi="仿宋_GB2312" w:eastAsia="仿宋_GB2312" w:cs="仿宋_GB2312"/>
          <w:color w:val="auto"/>
          <w:sz w:val="32"/>
          <w:szCs w:val="32"/>
          <w:highlight w:val="none"/>
          <w:u w:val="none"/>
        </w:rPr>
        <w:t>产权明晰、分配合理的运行机制，防止集体资产流失、严控集体经营风险</w:t>
      </w:r>
      <w:r>
        <w:rPr>
          <w:rFonts w:hint="eastAsia" w:ascii="仿宋_GB2312" w:hAnsi="仿宋_GB2312" w:eastAsia="仿宋_GB2312" w:cs="仿宋_GB2312"/>
          <w:color w:val="auto"/>
          <w:sz w:val="32"/>
          <w:szCs w:val="32"/>
          <w:highlight w:val="none"/>
          <w:u w:val="none"/>
          <w:lang w:eastAsia="zh-CN"/>
        </w:rPr>
        <w:t>。聚焦“保障居住、管住乱建、盘活闲置”，加强宅基地规范管理，更好地维护农民的土地和</w:t>
      </w:r>
      <w:r>
        <w:rPr>
          <w:rFonts w:hint="eastAsia" w:ascii="仿宋_GB2312" w:hAnsi="仿宋_GB2312" w:eastAsia="仿宋_GB2312" w:cs="仿宋_GB2312"/>
          <w:color w:val="auto"/>
          <w:sz w:val="32"/>
          <w:szCs w:val="32"/>
          <w:highlight w:val="none"/>
          <w:u w:val="none"/>
        </w:rPr>
        <w:t>财产权益。</w:t>
      </w:r>
    </w:p>
    <w:p w14:paraId="2CC42E2E">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default" w:ascii="仿宋_GB2312" w:hAnsi="仿宋_GB2312" w:eastAsia="仿宋_GB2312" w:cs="仿宋_GB2312"/>
          <w:strike w:val="0"/>
          <w:dstrike w:val="0"/>
          <w:color w:val="auto"/>
          <w:sz w:val="32"/>
          <w:szCs w:val="32"/>
          <w:highlight w:val="none"/>
          <w:u w:val="none"/>
          <w:lang w:val="en-US" w:eastAsia="zh-CN"/>
        </w:rPr>
      </w:pPr>
      <w:r>
        <w:rPr>
          <w:rFonts w:hint="eastAsia" w:ascii="仿宋_GB2312" w:hAnsi="仿宋_GB2312" w:eastAsia="仿宋_GB2312" w:cs="仿宋_GB2312"/>
          <w:b/>
          <w:bCs/>
          <w:strike w:val="0"/>
          <w:dstrike w:val="0"/>
          <w:color w:val="auto"/>
          <w:sz w:val="32"/>
          <w:szCs w:val="32"/>
          <w:highlight w:val="none"/>
          <w:u w:val="none"/>
        </w:rPr>
        <w:t>完善多元化投入机制。</w:t>
      </w:r>
      <w:r>
        <w:rPr>
          <w:rFonts w:hint="eastAsia" w:ascii="仿宋_GB2312" w:hAnsi="仿宋_GB2312" w:eastAsia="仿宋_GB2312" w:cs="仿宋_GB2312"/>
          <w:color w:val="auto"/>
          <w:sz w:val="32"/>
          <w:szCs w:val="32"/>
          <w:highlight w:val="none"/>
          <w:u w:val="none"/>
          <w:lang w:eastAsia="zh-CN"/>
        </w:rPr>
        <w:t>以“扩面、增量、提效”为目标，深化银担合作，精准对接经营主体融资需求，为农业发展提供金融支撑。</w:t>
      </w:r>
      <w:r>
        <w:rPr>
          <w:rFonts w:hint="eastAsia" w:ascii="仿宋_GB2312" w:hAnsi="仿宋_GB2312" w:eastAsia="仿宋_GB2312" w:cs="仿宋_GB2312"/>
          <w:strike w:val="0"/>
          <w:dstrike w:val="0"/>
          <w:color w:val="auto"/>
          <w:sz w:val="32"/>
          <w:szCs w:val="32"/>
          <w:highlight w:val="none"/>
          <w:u w:val="none"/>
        </w:rPr>
        <w:t>围绕资金、土地、人才、科技、市场等产业发展全要素，加大支持力度和服务力度，</w:t>
      </w:r>
      <w:r>
        <w:rPr>
          <w:rFonts w:hint="eastAsia" w:ascii="仿宋_GB2312" w:hAnsi="仿宋_GB2312" w:eastAsia="仿宋_GB2312" w:cs="仿宋_GB2312"/>
          <w:strike w:val="0"/>
          <w:dstrike w:val="0"/>
          <w:color w:val="auto"/>
          <w:sz w:val="32"/>
          <w:szCs w:val="32"/>
          <w:highlight w:val="none"/>
          <w:u w:val="none"/>
          <w:lang w:val="en-US" w:eastAsia="zh-CN"/>
        </w:rPr>
        <w:t>引导社会资本和金融资本投入农业领域，</w:t>
      </w:r>
      <w:r>
        <w:rPr>
          <w:rFonts w:hint="eastAsia" w:ascii="仿宋_GB2312" w:hAnsi="仿宋_GB2312" w:eastAsia="仿宋_GB2312" w:cs="仿宋_GB2312"/>
          <w:strike w:val="0"/>
          <w:dstrike w:val="0"/>
          <w:color w:val="auto"/>
          <w:sz w:val="32"/>
          <w:szCs w:val="32"/>
          <w:highlight w:val="none"/>
          <w:u w:val="none"/>
        </w:rPr>
        <w:t>加强</w:t>
      </w:r>
      <w:r>
        <w:rPr>
          <w:rFonts w:hint="eastAsia" w:ascii="仿宋_GB2312" w:hAnsi="仿宋_GB2312" w:eastAsia="仿宋_GB2312" w:cs="仿宋_GB2312"/>
          <w:strike w:val="0"/>
          <w:dstrike w:val="0"/>
          <w:color w:val="auto"/>
          <w:sz w:val="32"/>
          <w:szCs w:val="32"/>
          <w:highlight w:val="none"/>
          <w:u w:val="none"/>
          <w:lang w:val="zh-CN"/>
        </w:rPr>
        <w:t>涉农资金</w:t>
      </w:r>
      <w:r>
        <w:rPr>
          <w:rFonts w:hint="eastAsia" w:ascii="仿宋_GB2312" w:hAnsi="仿宋_GB2312" w:eastAsia="仿宋_GB2312" w:cs="仿宋_GB2312"/>
          <w:strike w:val="0"/>
          <w:dstrike w:val="0"/>
          <w:color w:val="auto"/>
          <w:sz w:val="32"/>
          <w:szCs w:val="32"/>
          <w:highlight w:val="none"/>
          <w:u w:val="none"/>
        </w:rPr>
        <w:t>统筹</w:t>
      </w:r>
      <w:r>
        <w:rPr>
          <w:rFonts w:hint="eastAsia" w:ascii="仿宋_GB2312" w:hAnsi="仿宋_GB2312" w:eastAsia="仿宋_GB2312" w:cs="仿宋_GB2312"/>
          <w:strike w:val="0"/>
          <w:dstrike w:val="0"/>
          <w:color w:val="auto"/>
          <w:sz w:val="32"/>
          <w:szCs w:val="32"/>
          <w:highlight w:val="none"/>
          <w:u w:val="none"/>
          <w:lang w:val="zh-CN"/>
        </w:rPr>
        <w:t>整合，发挥财政资金的杠杆作用。</w:t>
      </w:r>
      <w:r>
        <w:rPr>
          <w:rFonts w:hint="eastAsia" w:ascii="仿宋_GB2312" w:hAnsi="仿宋_GB2312" w:eastAsia="仿宋_GB2312" w:cs="仿宋_GB2312"/>
          <w:strike w:val="0"/>
          <w:dstrike w:val="0"/>
          <w:color w:val="auto"/>
          <w:sz w:val="32"/>
          <w:szCs w:val="32"/>
          <w:highlight w:val="none"/>
          <w:u w:val="none"/>
        </w:rPr>
        <w:t>在耕地总量不减少、永久基本农田布局基本稳定的前提下，支持以镇为基本实施单元的全域土地综合整治。</w:t>
      </w:r>
      <w:r>
        <w:rPr>
          <w:rFonts w:hint="eastAsia" w:ascii="仿宋_GB2312" w:hAnsi="仿宋_GB2312" w:eastAsia="仿宋_GB2312" w:cs="仿宋_GB2312"/>
          <w:strike w:val="0"/>
          <w:dstrike w:val="0"/>
          <w:color w:val="auto"/>
          <w:sz w:val="32"/>
          <w:szCs w:val="32"/>
          <w:highlight w:val="none"/>
          <w:u w:val="none"/>
          <w:lang w:val="en-US" w:eastAsia="zh-CN"/>
        </w:rPr>
        <w:t>到2030年，累计新增齐鲁富民贷、按揭农业贷、鲁担惠农贷等支农惠农贷款8亿元以上。</w:t>
      </w:r>
    </w:p>
    <w:p w14:paraId="2D3AE802">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default"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b/>
          <w:bCs/>
          <w:color w:val="auto"/>
          <w:sz w:val="32"/>
          <w:szCs w:val="32"/>
          <w:highlight w:val="none"/>
          <w:u w:val="none"/>
        </w:rPr>
        <w:t>促进农民增收致富。</w:t>
      </w:r>
      <w:r>
        <w:rPr>
          <w:rFonts w:hint="eastAsia" w:ascii="仿宋_GB2312" w:hAnsi="仿宋_GB2312" w:eastAsia="仿宋_GB2312" w:cs="仿宋_GB2312"/>
          <w:color w:val="auto"/>
          <w:sz w:val="32"/>
          <w:szCs w:val="32"/>
          <w:highlight w:val="none"/>
          <w:u w:val="none"/>
        </w:rPr>
        <w:t>围绕推动村集体、农民“双增收”，大力盘活闲置和低效资源，加快增收从“探路子”向“创特色”转变。深化农村产权、土地制度改革，增强村集体经济“造血”功能。</w:t>
      </w:r>
      <w:r>
        <w:rPr>
          <w:rFonts w:hint="eastAsia" w:ascii="仿宋_GB2312" w:hAnsi="仿宋_GB2312" w:eastAsia="仿宋_GB2312" w:cs="仿宋_GB2312"/>
          <w:color w:val="auto"/>
          <w:sz w:val="32"/>
          <w:szCs w:val="32"/>
          <w:highlight w:val="none"/>
          <w:u w:val="none"/>
          <w:lang w:eastAsia="zh-CN"/>
        </w:rPr>
        <w:t>巩固提升“按揭农业”模式，</w:t>
      </w:r>
      <w:r>
        <w:rPr>
          <w:rFonts w:hint="eastAsia" w:ascii="仿宋_GB2312" w:hAnsi="仿宋_GB2312" w:eastAsia="仿宋_GB2312" w:cs="仿宋_GB2312"/>
          <w:color w:val="auto"/>
          <w:sz w:val="32"/>
          <w:szCs w:val="32"/>
          <w:highlight w:val="none"/>
          <w:u w:val="none"/>
        </w:rPr>
        <w:t>运营管理乡村各类资产、资源和资金，</w:t>
      </w:r>
      <w:r>
        <w:rPr>
          <w:rFonts w:ascii="仿宋_GB2312" w:hAnsi="仿宋_GB2312" w:eastAsia="仿宋_GB2312" w:cs="仿宋_GB2312"/>
          <w:color w:val="auto"/>
          <w:sz w:val="32"/>
          <w:szCs w:val="32"/>
          <w:highlight w:val="none"/>
          <w:u w:val="none"/>
        </w:rPr>
        <w:t>提升</w:t>
      </w:r>
      <w:r>
        <w:rPr>
          <w:rFonts w:hint="eastAsia" w:ascii="仿宋_GB2312" w:hAnsi="仿宋_GB2312" w:eastAsia="仿宋_GB2312" w:cs="仿宋_GB2312"/>
          <w:color w:val="auto"/>
          <w:sz w:val="32"/>
          <w:szCs w:val="32"/>
          <w:highlight w:val="none"/>
          <w:u w:val="none"/>
        </w:rPr>
        <w:t>乡村资产价值。</w:t>
      </w:r>
      <w:r>
        <w:rPr>
          <w:rFonts w:hint="eastAsia" w:ascii="仿宋_GB2312" w:hAnsi="仿宋_GB2312" w:eastAsia="仿宋_GB2312" w:cs="仿宋_GB2312"/>
          <w:color w:val="auto"/>
          <w:sz w:val="32"/>
          <w:szCs w:val="32"/>
          <w:highlight w:val="none"/>
          <w:u w:val="none"/>
          <w:lang w:val="en-US" w:eastAsia="zh-CN"/>
        </w:rPr>
        <w:t>做大做强良安牧歌合同肉牛养殖模式和养殖数量。到2030年，力争新增肉牛存栏2万头，辐射带动农民增收。积极开展新型职业农民培训工程，新培训职业农民达800人，不断提高农民的生产技能；新增省市乡村齐鲁之星30人以上。</w:t>
      </w:r>
    </w:p>
    <w:p w14:paraId="2C40FC9C">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eastAsia="仿宋_GB2312"/>
          <w:color w:val="auto"/>
          <w:sz w:val="32"/>
          <w:szCs w:val="32"/>
          <w:highlight w:val="none"/>
          <w:u w:val="none"/>
        </w:rPr>
      </w:pPr>
      <w:r>
        <w:rPr>
          <w:rFonts w:hint="eastAsia" w:ascii="仿宋_GB2312" w:hAnsi="仿宋_GB2312" w:eastAsia="仿宋_GB2312" w:cs="仿宋_GB2312"/>
          <w:b/>
          <w:bCs/>
          <w:color w:val="auto"/>
          <w:sz w:val="32"/>
          <w:szCs w:val="32"/>
          <w:highlight w:val="none"/>
          <w:u w:val="none"/>
          <w:lang w:eastAsia="zh-CN"/>
        </w:rPr>
        <w:t>持续巩固拓展脱贫攻坚成果。</w:t>
      </w:r>
      <w:r>
        <w:rPr>
          <w:rFonts w:hint="eastAsia" w:ascii="仿宋_GB2312" w:hAnsi="仿宋_GB2312" w:eastAsia="仿宋_GB2312" w:cs="仿宋_GB2312"/>
          <w:color w:val="auto"/>
          <w:sz w:val="32"/>
          <w:szCs w:val="32"/>
          <w:highlight w:val="none"/>
          <w:u w:val="none"/>
        </w:rPr>
        <w:t>健全用好防止返贫动态监测和帮扶机制</w:t>
      </w:r>
      <w:r>
        <w:rPr>
          <w:rFonts w:ascii="仿宋_GB2312" w:hAnsi="仿宋_GB2312" w:eastAsia="仿宋_GB2312" w:cs="仿宋_GB2312"/>
          <w:color w:val="auto"/>
          <w:sz w:val="32"/>
          <w:szCs w:val="32"/>
          <w:highlight w:val="none"/>
          <w:u w:val="none"/>
        </w:rPr>
        <w:t>，加强精准对接服务</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auto"/>
          <w:sz w:val="32"/>
          <w:szCs w:val="32"/>
          <w:highlight w:val="none"/>
          <w:u w:val="none"/>
          <w:lang w:val="en-US" w:eastAsia="zh-CN"/>
        </w:rPr>
        <w:t>牢牢</w:t>
      </w:r>
      <w:r>
        <w:rPr>
          <w:rFonts w:hint="eastAsia" w:ascii="仿宋_GB2312" w:hAnsi="仿宋_GB2312" w:eastAsia="仿宋_GB2312" w:cs="仿宋_GB2312"/>
          <w:color w:val="auto"/>
          <w:sz w:val="32"/>
          <w:szCs w:val="32"/>
          <w:highlight w:val="none"/>
          <w:u w:val="none"/>
          <w:lang w:eastAsia="zh-CN"/>
        </w:rPr>
        <w:t>守住不发生规模性返贫底线</w:t>
      </w:r>
      <w:r>
        <w:rPr>
          <w:rFonts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auto"/>
          <w:sz w:val="32"/>
          <w:szCs w:val="32"/>
          <w:highlight w:val="none"/>
          <w:u w:val="none"/>
        </w:rPr>
        <w:t>围绕“两不愁三保障一安全”核心，持续落实好教育、住房、饮水及低保</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五保、残疾鉴定等政策。积极争取“以工代赈”项目，抓好公益性岗位等就业帮扶举措落实。</w:t>
      </w:r>
      <w:r>
        <w:rPr>
          <w:rFonts w:ascii="仿宋_GB2312" w:hAnsi="仿宋_GB2312" w:eastAsia="仿宋_GB2312" w:cs="仿宋_GB2312"/>
          <w:color w:val="auto"/>
          <w:sz w:val="32"/>
          <w:szCs w:val="32"/>
          <w:highlight w:val="none"/>
          <w:u w:val="none"/>
        </w:rPr>
        <w:t>充分发挥财政衔接资金牵引带动作用，</w:t>
      </w:r>
      <w:r>
        <w:rPr>
          <w:rFonts w:hint="eastAsia" w:ascii="仿宋_GB2312" w:eastAsia="仿宋_GB2312"/>
          <w:color w:val="auto"/>
          <w:sz w:val="32"/>
          <w:szCs w:val="32"/>
          <w:highlight w:val="none"/>
          <w:u w:val="none"/>
        </w:rPr>
        <w:t>强化帮扶产业项目资产分类管理，按照“巩固一批、升级一批、盘活一批、调整一批”，建立健全长效管理运营机制，推动帮扶资产提质增效、可持续发展，为增强脱贫地区和脱贫群众内生发展动力、持续提升增收致富能力提供有力支撑。</w:t>
      </w:r>
    </w:p>
    <w:p w14:paraId="4F90B28B">
      <w:pPr>
        <w:pStyle w:val="12"/>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eastAsia="仿宋_GB2312"/>
          <w:color w:val="auto"/>
          <w:sz w:val="32"/>
          <w:szCs w:val="32"/>
          <w:highlight w:val="none"/>
          <w:u w:val="none"/>
        </w:rPr>
      </w:pPr>
    </w:p>
    <w:tbl>
      <w:tblPr>
        <w:tblStyle w:val="20"/>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64684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296" w:type="dxa"/>
            <w:noWrap w:val="0"/>
            <w:vAlign w:val="center"/>
          </w:tcPr>
          <w:p w14:paraId="5098A91B">
            <w:pPr>
              <w:jc w:val="center"/>
              <w:rPr>
                <w:rFonts w:hint="eastAsia" w:ascii="黑体" w:hAnsi="黑体" w:eastAsia="黑体" w:cs="宋体"/>
                <w:bCs/>
                <w:color w:val="auto"/>
                <w:sz w:val="28"/>
                <w:szCs w:val="28"/>
                <w:highlight w:val="none"/>
                <w:u w:val="none"/>
              </w:rPr>
            </w:pPr>
            <w:r>
              <w:rPr>
                <w:rFonts w:hint="eastAsia" w:ascii="黑体" w:hAnsi="黑体" w:eastAsia="黑体" w:cs="宋体"/>
                <w:bCs/>
                <w:color w:val="auto"/>
                <w:sz w:val="28"/>
                <w:szCs w:val="28"/>
                <w:highlight w:val="none"/>
                <w:u w:val="none"/>
              </w:rPr>
              <w:t>专栏</w:t>
            </w:r>
            <w:r>
              <w:rPr>
                <w:rFonts w:hint="eastAsia" w:ascii="黑体" w:hAnsi="黑体" w:eastAsia="黑体" w:cs="宋体"/>
                <w:bCs/>
                <w:color w:val="auto"/>
                <w:sz w:val="28"/>
                <w:szCs w:val="28"/>
                <w:highlight w:val="none"/>
                <w:u w:val="none"/>
                <w:lang w:val="en-US" w:eastAsia="zh-CN"/>
              </w:rPr>
              <w:t>7</w:t>
            </w:r>
            <w:r>
              <w:rPr>
                <w:rFonts w:hint="eastAsia" w:ascii="黑体" w:hAnsi="黑体" w:eastAsia="黑体" w:cs="宋体"/>
                <w:bCs/>
                <w:color w:val="auto"/>
                <w:sz w:val="28"/>
                <w:szCs w:val="28"/>
                <w:highlight w:val="none"/>
                <w:u w:val="none"/>
              </w:rPr>
              <w:t>：乡村振兴重点项目</w:t>
            </w:r>
          </w:p>
        </w:tc>
      </w:tr>
      <w:tr w14:paraId="0628F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noWrap w:val="0"/>
            <w:vAlign w:val="top"/>
          </w:tcPr>
          <w:p w14:paraId="206E971D">
            <w:pPr>
              <w:keepNext w:val="0"/>
              <w:keepLines w:val="0"/>
              <w:pageBreakBefore w:val="0"/>
              <w:widowControl w:val="0"/>
              <w:kinsoku/>
              <w:wordWrap/>
              <w:overflowPunct/>
              <w:topLinePunct w:val="0"/>
              <w:autoSpaceDE/>
              <w:autoSpaceDN/>
              <w:bidi w:val="0"/>
              <w:adjustRightInd/>
              <w:snapToGrid/>
              <w:spacing w:line="600" w:lineRule="exact"/>
              <w:ind w:firstLine="562" w:firstLineChars="200"/>
              <w:textAlignment w:val="auto"/>
              <w:rPr>
                <w:rFonts w:hint="eastAsia" w:ascii="仿宋_GB2312" w:hAnsi="宋体" w:eastAsia="仿宋_GB2312" w:cs="宋体"/>
                <w:bCs/>
                <w:color w:val="auto"/>
                <w:sz w:val="28"/>
                <w:szCs w:val="28"/>
                <w:highlight w:val="none"/>
                <w:u w:val="none"/>
              </w:rPr>
            </w:pPr>
            <w:r>
              <w:rPr>
                <w:rFonts w:hint="eastAsia" w:ascii="仿宋_GB2312" w:hAnsi="宋体" w:eastAsia="仿宋_GB2312" w:cs="宋体"/>
                <w:b/>
                <w:bCs w:val="0"/>
                <w:color w:val="auto"/>
                <w:sz w:val="28"/>
                <w:szCs w:val="28"/>
                <w:highlight w:val="none"/>
                <w:u w:val="none"/>
              </w:rPr>
              <w:t>粮食安全：</w:t>
            </w:r>
            <w:r>
              <w:rPr>
                <w:rFonts w:hint="eastAsia" w:ascii="仿宋_GB2312" w:hAnsi="宋体" w:eastAsia="仿宋_GB2312" w:cs="宋体"/>
                <w:bCs/>
                <w:color w:val="auto"/>
                <w:sz w:val="28"/>
                <w:szCs w:val="28"/>
                <w:highlight w:val="none"/>
                <w:u w:val="none"/>
              </w:rPr>
              <w:t>（1）高标准农田建设项目（2）全域土地综合</w:t>
            </w:r>
            <w:r>
              <w:rPr>
                <w:rFonts w:hint="eastAsia" w:ascii="仿宋_GB2312" w:hAnsi="宋体" w:eastAsia="仿宋_GB2312" w:cs="宋体"/>
                <w:bCs/>
                <w:color w:val="auto"/>
                <w:sz w:val="28"/>
                <w:szCs w:val="28"/>
                <w:highlight w:val="none"/>
                <w:u w:val="none"/>
                <w:lang w:val="en-US" w:eastAsia="zh-CN"/>
              </w:rPr>
              <w:t>整治</w:t>
            </w:r>
            <w:r>
              <w:rPr>
                <w:rFonts w:hint="eastAsia" w:ascii="仿宋_GB2312" w:hAnsi="宋体" w:eastAsia="仿宋_GB2312" w:cs="宋体"/>
                <w:bCs/>
                <w:color w:val="auto"/>
                <w:sz w:val="28"/>
                <w:szCs w:val="28"/>
                <w:highlight w:val="none"/>
                <w:u w:val="none"/>
              </w:rPr>
              <w:t>项目（3）实施粮油绿色高质高效行动、粮油大面积单产提升、吨半粮创建、大豆玉米带状复合种植等项目</w:t>
            </w:r>
            <w:r>
              <w:rPr>
                <w:rFonts w:hint="eastAsia" w:ascii="仿宋_GB2312" w:hAnsi="宋体" w:eastAsia="仿宋_GB2312" w:cs="宋体"/>
                <w:bCs/>
                <w:color w:val="auto"/>
                <w:sz w:val="28"/>
                <w:szCs w:val="28"/>
                <w:highlight w:val="none"/>
                <w:u w:val="none"/>
                <w:lang w:eastAsia="zh-CN"/>
              </w:rPr>
              <w:t>（</w:t>
            </w:r>
            <w:r>
              <w:rPr>
                <w:rFonts w:hint="eastAsia" w:ascii="仿宋_GB2312" w:hAnsi="宋体" w:eastAsia="仿宋_GB2312" w:cs="宋体"/>
                <w:bCs/>
                <w:color w:val="auto"/>
                <w:sz w:val="28"/>
                <w:szCs w:val="28"/>
                <w:highlight w:val="none"/>
                <w:u w:val="none"/>
                <w:lang w:val="en-US" w:eastAsia="zh-CN"/>
              </w:rPr>
              <w:t>4</w:t>
            </w:r>
            <w:r>
              <w:rPr>
                <w:rFonts w:hint="eastAsia" w:ascii="仿宋_GB2312" w:hAnsi="宋体" w:eastAsia="仿宋_GB2312" w:cs="宋体"/>
                <w:bCs/>
                <w:color w:val="auto"/>
                <w:sz w:val="28"/>
                <w:szCs w:val="28"/>
                <w:highlight w:val="none"/>
                <w:u w:val="none"/>
                <w:lang w:eastAsia="zh-CN"/>
              </w:rPr>
              <w:t>）台儿庄粮食仓储设施及配套道路提升改造项目（</w:t>
            </w:r>
            <w:r>
              <w:rPr>
                <w:rFonts w:hint="eastAsia" w:ascii="仿宋_GB2312" w:hAnsi="宋体" w:eastAsia="仿宋_GB2312" w:cs="宋体"/>
                <w:bCs/>
                <w:color w:val="auto"/>
                <w:sz w:val="28"/>
                <w:szCs w:val="28"/>
                <w:highlight w:val="none"/>
                <w:u w:val="none"/>
                <w:lang w:val="en-US" w:eastAsia="zh-CN"/>
              </w:rPr>
              <w:t>5</w:t>
            </w:r>
            <w:r>
              <w:rPr>
                <w:rFonts w:hint="eastAsia" w:ascii="仿宋_GB2312" w:hAnsi="宋体" w:eastAsia="仿宋_GB2312" w:cs="宋体"/>
                <w:bCs/>
                <w:color w:val="auto"/>
                <w:sz w:val="28"/>
                <w:szCs w:val="28"/>
                <w:highlight w:val="none"/>
                <w:u w:val="none"/>
                <w:lang w:eastAsia="zh-CN"/>
              </w:rPr>
              <w:t>）</w:t>
            </w:r>
            <w:r>
              <w:rPr>
                <w:rFonts w:hint="eastAsia" w:ascii="仿宋_GB2312" w:hAnsi="宋体" w:eastAsia="仿宋_GB2312" w:cs="宋体"/>
                <w:bCs/>
                <w:color w:val="auto"/>
                <w:sz w:val="28"/>
                <w:szCs w:val="28"/>
                <w:highlight w:val="none"/>
                <w:u w:val="none"/>
                <w:lang w:val="en-US" w:eastAsia="zh-CN"/>
              </w:rPr>
              <w:t>台儿庄区智慧仓储项目</w:t>
            </w:r>
            <w:r>
              <w:rPr>
                <w:rFonts w:hint="eastAsia" w:ascii="仿宋_GB2312" w:hAnsi="宋体" w:eastAsia="仿宋_GB2312" w:cs="宋体"/>
                <w:bCs/>
                <w:color w:val="auto"/>
                <w:sz w:val="28"/>
                <w:szCs w:val="28"/>
                <w:highlight w:val="none"/>
                <w:u w:val="none"/>
              </w:rPr>
              <w:t>。</w:t>
            </w:r>
          </w:p>
          <w:p w14:paraId="0DDD47AF">
            <w:pPr>
              <w:keepNext w:val="0"/>
              <w:keepLines w:val="0"/>
              <w:pageBreakBefore w:val="0"/>
              <w:widowControl w:val="0"/>
              <w:kinsoku/>
              <w:wordWrap/>
              <w:overflowPunct/>
              <w:topLinePunct w:val="0"/>
              <w:autoSpaceDE/>
              <w:autoSpaceDN/>
              <w:bidi w:val="0"/>
              <w:adjustRightInd/>
              <w:snapToGrid/>
              <w:spacing w:line="600" w:lineRule="exact"/>
              <w:ind w:firstLine="562" w:firstLineChars="200"/>
              <w:textAlignment w:val="auto"/>
              <w:rPr>
                <w:rFonts w:hint="eastAsia" w:ascii="仿宋_GB2312" w:hAnsi="宋体" w:eastAsia="仿宋_GB2312" w:cs="宋体"/>
                <w:bCs/>
                <w:color w:val="auto"/>
                <w:sz w:val="28"/>
                <w:szCs w:val="28"/>
                <w:highlight w:val="none"/>
                <w:u w:val="none"/>
              </w:rPr>
            </w:pPr>
            <w:r>
              <w:rPr>
                <w:rFonts w:hint="eastAsia" w:ascii="仿宋_GB2312" w:hAnsi="宋体" w:eastAsia="仿宋_GB2312" w:cs="宋体"/>
                <w:b/>
                <w:bCs w:val="0"/>
                <w:color w:val="auto"/>
                <w:sz w:val="28"/>
                <w:szCs w:val="28"/>
                <w:highlight w:val="none"/>
                <w:u w:val="none"/>
              </w:rPr>
              <w:t>特色优势农业：</w:t>
            </w:r>
            <w:r>
              <w:rPr>
                <w:rFonts w:hint="eastAsia" w:ascii="仿宋_GB2312" w:hAnsi="宋体" w:eastAsia="仿宋_GB2312" w:cs="宋体"/>
                <w:bCs/>
                <w:color w:val="auto"/>
                <w:sz w:val="28"/>
                <w:szCs w:val="28"/>
                <w:highlight w:val="none"/>
                <w:u w:val="none"/>
              </w:rPr>
              <w:t>（1）</w:t>
            </w:r>
            <w:r>
              <w:rPr>
                <w:rFonts w:hint="eastAsia" w:ascii="仿宋_GB2312" w:hAnsi="宋体" w:eastAsia="仿宋_GB2312" w:cs="宋体"/>
                <w:bCs/>
                <w:color w:val="auto"/>
                <w:sz w:val="28"/>
                <w:szCs w:val="28"/>
                <w:highlight w:val="none"/>
                <w:u w:val="none"/>
                <w:lang w:eastAsia="zh-CN"/>
              </w:rPr>
              <w:t>日产</w:t>
            </w:r>
            <w:r>
              <w:rPr>
                <w:rFonts w:hint="eastAsia" w:ascii="仿宋_GB2312" w:hAnsi="宋体" w:eastAsia="仿宋_GB2312" w:cs="宋体"/>
                <w:bCs/>
                <w:color w:val="auto"/>
                <w:sz w:val="28"/>
                <w:szCs w:val="28"/>
                <w:highlight w:val="none"/>
                <w:u w:val="none"/>
                <w:lang w:val="en-US" w:eastAsia="zh-CN"/>
              </w:rPr>
              <w:t>15</w:t>
            </w:r>
            <w:r>
              <w:rPr>
                <w:rFonts w:hint="eastAsia" w:ascii="仿宋_GB2312" w:hAnsi="宋体" w:eastAsia="仿宋_GB2312" w:cs="宋体"/>
                <w:bCs/>
                <w:color w:val="auto"/>
                <w:sz w:val="28"/>
                <w:szCs w:val="28"/>
                <w:highlight w:val="none"/>
                <w:u w:val="none"/>
              </w:rPr>
              <w:t>万支食用菌菌棒自动化生产示范工厂项目（2）鱼菜共生农光互补循环农业产业园项目（3）</w:t>
            </w:r>
            <w:r>
              <w:rPr>
                <w:rFonts w:hint="eastAsia" w:ascii="仿宋_GB2312" w:hAnsi="宋体" w:eastAsia="仿宋_GB2312" w:cs="宋体"/>
                <w:bCs/>
                <w:color w:val="auto"/>
                <w:sz w:val="28"/>
                <w:szCs w:val="28"/>
                <w:highlight w:val="none"/>
                <w:u w:val="none"/>
                <w:lang w:val="en-US" w:eastAsia="zh-CN"/>
              </w:rPr>
              <w:t>良安鲜达</w:t>
            </w:r>
            <w:r>
              <w:rPr>
                <w:rFonts w:hint="eastAsia" w:ascii="仿宋_GB2312" w:hAnsi="宋体" w:eastAsia="仿宋_GB2312" w:cs="宋体"/>
                <w:bCs/>
                <w:color w:val="auto"/>
                <w:sz w:val="28"/>
                <w:szCs w:val="28"/>
                <w:highlight w:val="none"/>
                <w:u w:val="none"/>
              </w:rPr>
              <w:t>工厂化循环水养殖项目（4）秸秆综合利用项目（5）蔬菜育苗繁育项目（6）</w:t>
            </w:r>
            <w:r>
              <w:rPr>
                <w:rFonts w:hint="eastAsia" w:ascii="仿宋_GB2312" w:hAnsi="宋体" w:eastAsia="仿宋_GB2312" w:cs="宋体"/>
                <w:bCs/>
                <w:color w:val="auto"/>
                <w:sz w:val="28"/>
                <w:szCs w:val="28"/>
                <w:highlight w:val="none"/>
                <w:u w:val="none"/>
                <w:lang w:val="en-US" w:eastAsia="zh-CN"/>
              </w:rPr>
              <w:t>良安牧歌合同肉牛养殖项目</w:t>
            </w:r>
            <w:r>
              <w:rPr>
                <w:rFonts w:hint="eastAsia" w:ascii="仿宋_GB2312" w:hAnsi="宋体" w:eastAsia="仿宋_GB2312" w:cs="宋体"/>
                <w:bCs/>
                <w:color w:val="auto"/>
                <w:sz w:val="28"/>
                <w:szCs w:val="28"/>
                <w:highlight w:val="none"/>
                <w:u w:val="none"/>
              </w:rPr>
              <w:t>（7）国家农业现代</w:t>
            </w:r>
            <w:r>
              <w:rPr>
                <w:rFonts w:hint="eastAsia" w:ascii="仿宋_GB2312" w:hAnsi="宋体" w:eastAsia="仿宋_GB2312" w:cs="宋体"/>
                <w:bCs/>
                <w:color w:val="auto"/>
                <w:sz w:val="28"/>
                <w:szCs w:val="28"/>
                <w:highlight w:val="none"/>
                <w:u w:val="none"/>
                <w:lang w:eastAsia="zh-CN"/>
              </w:rPr>
              <w:t>化</w:t>
            </w:r>
            <w:r>
              <w:rPr>
                <w:rFonts w:hint="eastAsia" w:ascii="仿宋_GB2312" w:hAnsi="宋体" w:eastAsia="仿宋_GB2312" w:cs="宋体"/>
                <w:bCs/>
                <w:color w:val="auto"/>
                <w:sz w:val="28"/>
                <w:szCs w:val="28"/>
                <w:highlight w:val="none"/>
                <w:u w:val="none"/>
              </w:rPr>
              <w:t>示范区（8）国家</w:t>
            </w:r>
            <w:r>
              <w:rPr>
                <w:rFonts w:hint="eastAsia" w:ascii="仿宋_GB2312" w:hAnsi="宋体" w:eastAsia="仿宋_GB2312" w:cs="宋体"/>
                <w:bCs/>
                <w:color w:val="auto"/>
                <w:sz w:val="28"/>
                <w:szCs w:val="28"/>
                <w:highlight w:val="none"/>
                <w:u w:val="none"/>
                <w:lang w:eastAsia="zh-CN"/>
              </w:rPr>
              <w:t>现代</w:t>
            </w:r>
            <w:r>
              <w:rPr>
                <w:rFonts w:hint="eastAsia" w:ascii="仿宋_GB2312" w:hAnsi="宋体" w:eastAsia="仿宋_GB2312" w:cs="宋体"/>
                <w:bCs/>
                <w:color w:val="auto"/>
                <w:sz w:val="28"/>
                <w:szCs w:val="28"/>
                <w:highlight w:val="none"/>
                <w:u w:val="none"/>
              </w:rPr>
              <w:t>农业产业园</w:t>
            </w:r>
            <w:r>
              <w:rPr>
                <w:rFonts w:hint="eastAsia" w:ascii="仿宋_GB2312" w:hAnsi="宋体" w:eastAsia="仿宋_GB2312" w:cs="宋体"/>
                <w:bCs/>
                <w:color w:val="auto"/>
                <w:sz w:val="28"/>
                <w:szCs w:val="28"/>
                <w:highlight w:val="none"/>
                <w:u w:val="none"/>
                <w:lang w:val="en-US" w:eastAsia="zh-CN"/>
              </w:rPr>
              <w:t>（9）</w:t>
            </w:r>
            <w:r>
              <w:rPr>
                <w:rFonts w:hint="eastAsia" w:ascii="仿宋_GB2312" w:hAnsi="宋体" w:eastAsia="仿宋_GB2312" w:cs="宋体"/>
                <w:bCs/>
                <w:color w:val="auto"/>
                <w:sz w:val="28"/>
                <w:szCs w:val="28"/>
                <w:highlight w:val="none"/>
                <w:u w:val="none"/>
              </w:rPr>
              <w:t>国家农业产业强镇</w:t>
            </w:r>
            <w:r>
              <w:rPr>
                <w:rFonts w:hint="eastAsia" w:ascii="仿宋_GB2312" w:hAnsi="宋体" w:eastAsia="仿宋_GB2312" w:cs="宋体"/>
                <w:bCs/>
                <w:color w:val="auto"/>
                <w:sz w:val="28"/>
                <w:szCs w:val="28"/>
                <w:highlight w:val="none"/>
                <w:u w:val="none"/>
                <w:lang w:eastAsia="zh-CN"/>
              </w:rPr>
              <w:t>（</w:t>
            </w:r>
            <w:r>
              <w:rPr>
                <w:rFonts w:hint="eastAsia" w:ascii="仿宋_GB2312" w:hAnsi="宋体" w:eastAsia="仿宋_GB2312" w:cs="宋体"/>
                <w:bCs/>
                <w:color w:val="auto"/>
                <w:sz w:val="28"/>
                <w:szCs w:val="28"/>
                <w:highlight w:val="none"/>
                <w:u w:val="none"/>
                <w:lang w:val="en-US" w:eastAsia="zh-CN"/>
              </w:rPr>
              <w:t>10</w:t>
            </w:r>
            <w:r>
              <w:rPr>
                <w:rFonts w:hint="eastAsia" w:ascii="仿宋_GB2312" w:hAnsi="宋体" w:eastAsia="仿宋_GB2312" w:cs="宋体"/>
                <w:bCs/>
                <w:color w:val="auto"/>
                <w:sz w:val="28"/>
                <w:szCs w:val="28"/>
                <w:highlight w:val="none"/>
                <w:u w:val="none"/>
                <w:lang w:eastAsia="zh-CN"/>
              </w:rPr>
              <w:t>）</w:t>
            </w:r>
            <w:r>
              <w:rPr>
                <w:rFonts w:hint="eastAsia" w:ascii="仿宋_GB2312" w:hAnsi="宋体" w:eastAsia="仿宋_GB2312" w:cs="宋体"/>
                <w:bCs/>
                <w:color w:val="auto"/>
                <w:sz w:val="28"/>
                <w:szCs w:val="28"/>
                <w:highlight w:val="none"/>
                <w:u w:val="none"/>
              </w:rPr>
              <w:t>台儿庄区数字农业现代农事综合服务中心项目。</w:t>
            </w:r>
          </w:p>
          <w:p w14:paraId="6CB88F7B">
            <w:pPr>
              <w:keepNext w:val="0"/>
              <w:keepLines w:val="0"/>
              <w:pageBreakBefore w:val="0"/>
              <w:widowControl w:val="0"/>
              <w:kinsoku/>
              <w:wordWrap/>
              <w:overflowPunct/>
              <w:topLinePunct w:val="0"/>
              <w:autoSpaceDE/>
              <w:autoSpaceDN/>
              <w:bidi w:val="0"/>
              <w:adjustRightInd/>
              <w:snapToGrid/>
              <w:spacing w:line="600" w:lineRule="exact"/>
              <w:ind w:firstLine="562" w:firstLineChars="200"/>
              <w:textAlignment w:val="auto"/>
              <w:rPr>
                <w:rFonts w:hint="eastAsia" w:ascii="仿宋_GB2312" w:hAnsi="宋体" w:eastAsia="仿宋_GB2312" w:cs="宋体"/>
                <w:bCs/>
                <w:color w:val="auto"/>
                <w:sz w:val="28"/>
                <w:szCs w:val="28"/>
                <w:highlight w:val="none"/>
                <w:u w:val="none"/>
              </w:rPr>
            </w:pPr>
            <w:r>
              <w:rPr>
                <w:rFonts w:hint="eastAsia" w:ascii="仿宋_GB2312" w:hAnsi="宋体" w:eastAsia="仿宋_GB2312" w:cs="宋体"/>
                <w:b/>
                <w:bCs w:val="0"/>
                <w:color w:val="auto"/>
                <w:sz w:val="28"/>
                <w:szCs w:val="28"/>
                <w:highlight w:val="none"/>
                <w:u w:val="none"/>
              </w:rPr>
              <w:t>乡村振兴片区：</w:t>
            </w:r>
            <w:r>
              <w:rPr>
                <w:rFonts w:hint="eastAsia" w:ascii="仿宋_GB2312" w:hAnsi="宋体" w:eastAsia="仿宋_GB2312" w:cs="宋体"/>
                <w:bCs/>
                <w:color w:val="auto"/>
                <w:sz w:val="28"/>
                <w:szCs w:val="28"/>
                <w:highlight w:val="none"/>
                <w:u w:val="none"/>
              </w:rPr>
              <w:t>（1）泥沟镇“菇韵兰祺”省级衔接乡村振兴集中推进区（2）马兰屯镇“花渠蔬香”省级乡村振兴片区。</w:t>
            </w:r>
            <w:r>
              <w:rPr>
                <w:rFonts w:hint="eastAsia" w:ascii="仿宋_GB2312" w:hAnsi="宋体" w:eastAsia="仿宋_GB2312" w:cs="宋体"/>
                <w:bCs/>
                <w:color w:val="auto"/>
                <w:sz w:val="28"/>
                <w:szCs w:val="28"/>
                <w:highlight w:val="none"/>
                <w:u w:val="none"/>
                <w:lang w:eastAsia="zh-CN"/>
              </w:rPr>
              <w:t>（</w:t>
            </w:r>
            <w:r>
              <w:rPr>
                <w:rFonts w:hint="eastAsia" w:ascii="仿宋_GB2312" w:hAnsi="宋体" w:eastAsia="仿宋_GB2312" w:cs="宋体"/>
                <w:bCs/>
                <w:color w:val="auto"/>
                <w:sz w:val="28"/>
                <w:szCs w:val="28"/>
                <w:highlight w:val="none"/>
                <w:u w:val="none"/>
                <w:lang w:val="en-US" w:eastAsia="zh-CN"/>
              </w:rPr>
              <w:t>3</w:t>
            </w:r>
            <w:r>
              <w:rPr>
                <w:rFonts w:hint="eastAsia" w:ascii="仿宋_GB2312" w:hAnsi="宋体" w:eastAsia="仿宋_GB2312" w:cs="宋体"/>
                <w:bCs/>
                <w:color w:val="auto"/>
                <w:sz w:val="28"/>
                <w:szCs w:val="28"/>
                <w:highlight w:val="none"/>
                <w:u w:val="none"/>
                <w:lang w:eastAsia="zh-CN"/>
              </w:rPr>
              <w:t>）邳庄镇“木韵乡情”市级乡村振兴</w:t>
            </w:r>
            <w:r>
              <w:rPr>
                <w:rFonts w:hint="eastAsia" w:ascii="仿宋_GB2312" w:hAnsi="宋体" w:eastAsia="仿宋_GB2312" w:cs="宋体"/>
                <w:bCs/>
                <w:color w:val="auto"/>
                <w:sz w:val="28"/>
                <w:szCs w:val="28"/>
                <w:highlight w:val="none"/>
                <w:u w:val="none"/>
                <w:lang w:val="en-US" w:eastAsia="zh-CN"/>
              </w:rPr>
              <w:t>片</w:t>
            </w:r>
            <w:r>
              <w:rPr>
                <w:rFonts w:hint="eastAsia" w:ascii="仿宋_GB2312" w:hAnsi="宋体" w:eastAsia="仿宋_GB2312" w:cs="宋体"/>
                <w:bCs/>
                <w:color w:val="auto"/>
                <w:sz w:val="28"/>
                <w:szCs w:val="28"/>
                <w:highlight w:val="none"/>
                <w:u w:val="none"/>
                <w:lang w:eastAsia="zh-CN"/>
              </w:rPr>
              <w:t>区</w:t>
            </w:r>
            <w:r>
              <w:rPr>
                <w:rFonts w:hint="eastAsia" w:ascii="仿宋_GB2312" w:hAnsi="宋体" w:eastAsia="仿宋_GB2312" w:cs="宋体"/>
                <w:bCs/>
                <w:color w:val="auto"/>
                <w:sz w:val="28"/>
                <w:szCs w:val="28"/>
                <w:highlight w:val="none"/>
                <w:u w:val="none"/>
              </w:rPr>
              <w:t>、</w:t>
            </w:r>
            <w:r>
              <w:rPr>
                <w:rFonts w:hint="eastAsia" w:ascii="仿宋_GB2312" w:hAnsi="宋体" w:eastAsia="仿宋_GB2312" w:cs="宋体"/>
                <w:bCs/>
                <w:color w:val="auto"/>
                <w:sz w:val="28"/>
                <w:szCs w:val="28"/>
                <w:highlight w:val="none"/>
                <w:u w:val="none"/>
                <w:lang w:eastAsia="zh-CN"/>
              </w:rPr>
              <w:t>（</w:t>
            </w:r>
            <w:r>
              <w:rPr>
                <w:rFonts w:hint="eastAsia" w:ascii="仿宋_GB2312" w:hAnsi="宋体" w:eastAsia="仿宋_GB2312" w:cs="宋体"/>
                <w:bCs/>
                <w:color w:val="auto"/>
                <w:sz w:val="28"/>
                <w:szCs w:val="28"/>
                <w:highlight w:val="none"/>
                <w:u w:val="none"/>
                <w:lang w:val="en-US" w:eastAsia="zh-CN"/>
              </w:rPr>
              <w:t>4</w:t>
            </w:r>
            <w:r>
              <w:rPr>
                <w:rFonts w:hint="eastAsia" w:ascii="仿宋_GB2312" w:hAnsi="宋体" w:eastAsia="仿宋_GB2312" w:cs="宋体"/>
                <w:bCs/>
                <w:color w:val="auto"/>
                <w:sz w:val="28"/>
                <w:szCs w:val="28"/>
                <w:highlight w:val="none"/>
                <w:u w:val="none"/>
                <w:lang w:eastAsia="zh-CN"/>
              </w:rPr>
              <w:t>）</w:t>
            </w:r>
            <w:r>
              <w:rPr>
                <w:rFonts w:hint="eastAsia" w:ascii="仿宋_GB2312" w:hAnsi="宋体" w:eastAsia="仿宋_GB2312" w:cs="宋体"/>
                <w:bCs/>
                <w:color w:val="auto"/>
                <w:sz w:val="28"/>
                <w:szCs w:val="28"/>
                <w:highlight w:val="none"/>
                <w:u w:val="none"/>
                <w:lang w:val="en-US" w:eastAsia="zh-CN"/>
              </w:rPr>
              <w:t>泥沟镇</w:t>
            </w:r>
            <w:r>
              <w:rPr>
                <w:rFonts w:hint="eastAsia" w:ascii="仿宋_GB2312" w:hAnsi="宋体" w:eastAsia="仿宋_GB2312" w:cs="宋体"/>
                <w:bCs/>
                <w:color w:val="auto"/>
                <w:sz w:val="28"/>
                <w:szCs w:val="28"/>
                <w:highlight w:val="none"/>
                <w:u w:val="none"/>
              </w:rPr>
              <w:t>“菌香田园”市级乡村振兴片区、</w:t>
            </w:r>
            <w:r>
              <w:rPr>
                <w:rFonts w:hint="eastAsia" w:ascii="仿宋_GB2312" w:hAnsi="宋体" w:eastAsia="仿宋_GB2312" w:cs="宋体"/>
                <w:bCs/>
                <w:color w:val="auto"/>
                <w:sz w:val="28"/>
                <w:szCs w:val="28"/>
                <w:highlight w:val="none"/>
                <w:u w:val="none"/>
                <w:lang w:eastAsia="zh-CN"/>
              </w:rPr>
              <w:t>（</w:t>
            </w:r>
            <w:r>
              <w:rPr>
                <w:rFonts w:hint="eastAsia" w:ascii="仿宋_GB2312" w:hAnsi="宋体" w:eastAsia="仿宋_GB2312" w:cs="宋体"/>
                <w:bCs/>
                <w:color w:val="auto"/>
                <w:sz w:val="28"/>
                <w:szCs w:val="28"/>
                <w:highlight w:val="none"/>
                <w:u w:val="none"/>
                <w:lang w:val="en-US" w:eastAsia="zh-CN"/>
              </w:rPr>
              <w:t>5</w:t>
            </w:r>
            <w:r>
              <w:rPr>
                <w:rFonts w:hint="eastAsia" w:ascii="仿宋_GB2312" w:hAnsi="宋体" w:eastAsia="仿宋_GB2312" w:cs="宋体"/>
                <w:bCs/>
                <w:color w:val="auto"/>
                <w:sz w:val="28"/>
                <w:szCs w:val="28"/>
                <w:highlight w:val="none"/>
                <w:u w:val="none"/>
                <w:lang w:eastAsia="zh-CN"/>
              </w:rPr>
              <w:t>）</w:t>
            </w:r>
            <w:r>
              <w:rPr>
                <w:rFonts w:hint="eastAsia" w:ascii="仿宋_GB2312" w:hAnsi="宋体" w:eastAsia="仿宋_GB2312" w:cs="宋体"/>
                <w:bCs/>
                <w:color w:val="auto"/>
                <w:sz w:val="28"/>
                <w:szCs w:val="28"/>
                <w:highlight w:val="none"/>
                <w:u w:val="none"/>
              </w:rPr>
              <w:t>张山子镇“稻香桃韵”市级乡村振兴片区</w:t>
            </w:r>
          </w:p>
        </w:tc>
      </w:tr>
    </w:tbl>
    <w:p w14:paraId="5BB5D739">
      <w:pPr>
        <w:pStyle w:val="5"/>
        <w:adjustRightInd w:val="0"/>
        <w:snapToGrid w:val="0"/>
        <w:spacing w:before="240" w:after="240" w:line="600" w:lineRule="exact"/>
        <w:jc w:val="center"/>
        <w:rPr>
          <w:rFonts w:hint="eastAsia" w:ascii="黑体" w:hAnsi="黑体" w:eastAsia="黑体"/>
          <w:b w:val="0"/>
          <w:bCs w:val="0"/>
          <w:color w:val="auto"/>
          <w:sz w:val="32"/>
          <w:szCs w:val="32"/>
          <w:highlight w:val="none"/>
        </w:rPr>
        <w:sectPr>
          <w:footnotePr>
            <w:numFmt w:val="decimalEnclosedCircleChinese"/>
            <w:numRestart w:val="eachPage"/>
          </w:footnotePr>
          <w:pgSz w:w="11906" w:h="16838"/>
          <w:pgMar w:top="1440" w:right="1800" w:bottom="1440" w:left="1800" w:header="851" w:footer="1134" w:gutter="0"/>
          <w:pgNumType w:fmt="numberInDash"/>
          <w:cols w:space="720" w:num="1"/>
          <w:docGrid w:type="lines" w:linePitch="312" w:charSpace="0"/>
        </w:sectPr>
      </w:pPr>
    </w:p>
    <w:p w14:paraId="72BBBAF2">
      <w:pPr>
        <w:pStyle w:val="5"/>
        <w:adjustRightInd w:val="0"/>
        <w:snapToGrid w:val="0"/>
        <w:spacing w:before="240" w:after="240" w:line="600" w:lineRule="exact"/>
        <w:jc w:val="center"/>
        <w:rPr>
          <w:rFonts w:ascii="黑体" w:hAnsi="黑体" w:eastAsia="黑体"/>
          <w:b w:val="0"/>
          <w:bCs w:val="0"/>
          <w:color w:val="auto"/>
          <w:sz w:val="32"/>
          <w:szCs w:val="32"/>
          <w:highlight w:val="none"/>
        </w:rPr>
      </w:pPr>
      <w:bookmarkStart w:id="38" w:name="_Toc19901"/>
      <w:r>
        <w:rPr>
          <w:rFonts w:hint="eastAsia" w:ascii="黑体" w:hAnsi="黑体" w:eastAsia="黑体"/>
          <w:b w:val="0"/>
          <w:bCs w:val="0"/>
          <w:color w:val="auto"/>
          <w:sz w:val="32"/>
          <w:szCs w:val="32"/>
          <w:highlight w:val="none"/>
        </w:rPr>
        <w:t>第七章 突出文化</w:t>
      </w:r>
      <w:r>
        <w:rPr>
          <w:rFonts w:ascii="黑体" w:hAnsi="黑体" w:eastAsia="黑体"/>
          <w:b w:val="0"/>
          <w:bCs w:val="0"/>
          <w:color w:val="auto"/>
          <w:sz w:val="32"/>
          <w:szCs w:val="32"/>
          <w:highlight w:val="none"/>
        </w:rPr>
        <w:t>两创发展</w:t>
      </w:r>
      <w:r>
        <w:rPr>
          <w:rFonts w:hint="eastAsia" w:ascii="黑体" w:hAnsi="黑体" w:eastAsia="黑体"/>
          <w:b w:val="0"/>
          <w:bCs w:val="0"/>
          <w:color w:val="auto"/>
          <w:sz w:val="32"/>
          <w:szCs w:val="32"/>
          <w:highlight w:val="none"/>
        </w:rPr>
        <w:t>，建设运河文化传承核心区</w:t>
      </w:r>
      <w:bookmarkEnd w:id="38"/>
    </w:p>
    <w:p w14:paraId="492C8A68">
      <w:pPr>
        <w:adjustRightInd w:val="0"/>
        <w:snapToGrid w:val="0"/>
        <w:spacing w:line="600" w:lineRule="exact"/>
        <w:ind w:firstLine="640" w:firstLineChars="200"/>
        <w:rPr>
          <w:rFonts w:hint="eastAsia" w:ascii="仿宋_GB2312" w:hAnsi="Times New Roman" w:eastAsia="仿宋_GB2312"/>
          <w:color w:val="auto"/>
          <w:sz w:val="32"/>
          <w:szCs w:val="32"/>
          <w:highlight w:val="none"/>
        </w:rPr>
      </w:pPr>
      <w:r>
        <w:rPr>
          <w:rFonts w:hint="eastAsia" w:ascii="仿宋_GB2312" w:hAnsi="Times New Roman" w:eastAsia="仿宋_GB2312"/>
          <w:color w:val="auto"/>
          <w:sz w:val="32"/>
          <w:szCs w:val="32"/>
          <w:highlight w:val="none"/>
        </w:rPr>
        <w:t>深入践行习近平文化思想，牢牢把握新时代“举旗帜、聚民心、育新人、兴文化、展形象”的使命任务，推进优秀传统文化创造性转化、创新性发展，推进文旅深度融合发展，持续擦亮“中华古水城</w:t>
      </w:r>
      <w:r>
        <w:rPr>
          <w:rFonts w:hint="eastAsia" w:ascii="仿宋_GB2312" w:hAnsi="Times New Roman" w:eastAsia="仿宋_GB2312"/>
          <w:color w:val="auto"/>
          <w:sz w:val="32"/>
          <w:szCs w:val="32"/>
          <w:highlight w:val="none"/>
          <w:lang w:eastAsia="zh-CN"/>
        </w:rPr>
        <w:t>、</w:t>
      </w:r>
      <w:r>
        <w:rPr>
          <w:rFonts w:hint="eastAsia" w:ascii="仿宋_GB2312" w:hAnsi="Times New Roman" w:eastAsia="仿宋_GB2312"/>
          <w:color w:val="auto"/>
          <w:sz w:val="32"/>
          <w:szCs w:val="32"/>
          <w:highlight w:val="none"/>
        </w:rPr>
        <w:t>英雄台儿庄”品牌。到2030年，基本建成中华运河文明的重要展示窗口，构建</w:t>
      </w:r>
      <w:r>
        <w:rPr>
          <w:rFonts w:hint="eastAsia" w:ascii="仿宋_GB2312" w:hAnsi="Times New Roman" w:eastAsia="仿宋_GB2312"/>
          <w:color w:val="auto"/>
          <w:sz w:val="32"/>
          <w:szCs w:val="32"/>
          <w:highlight w:val="none"/>
          <w:lang w:val="en-US" w:eastAsia="zh-CN"/>
        </w:rPr>
        <w:t>起</w:t>
      </w:r>
      <w:r>
        <w:rPr>
          <w:rFonts w:hint="eastAsia" w:ascii="仿宋_GB2312" w:hAnsi="Times New Roman" w:eastAsia="仿宋_GB2312"/>
          <w:color w:val="auto"/>
          <w:sz w:val="32"/>
          <w:szCs w:val="32"/>
          <w:highlight w:val="none"/>
        </w:rPr>
        <w:t>全景共建、全业共融的旅游发展新范式。</w:t>
      </w:r>
    </w:p>
    <w:p w14:paraId="233556AA">
      <w:pPr>
        <w:pStyle w:val="6"/>
        <w:bidi w:val="0"/>
        <w:rPr>
          <w:rFonts w:hint="eastAsia"/>
          <w:color w:val="auto"/>
          <w:highlight w:val="none"/>
        </w:rPr>
      </w:pPr>
      <w:bookmarkStart w:id="39" w:name="_Toc207569911"/>
      <w:bookmarkStart w:id="40" w:name="_Toc20149"/>
      <w:r>
        <w:rPr>
          <w:rFonts w:hint="eastAsia"/>
          <w:color w:val="auto"/>
          <w:highlight w:val="none"/>
        </w:rPr>
        <w:t xml:space="preserve">第一节 </w:t>
      </w:r>
      <w:bookmarkEnd w:id="39"/>
      <w:r>
        <w:rPr>
          <w:rFonts w:hint="eastAsia"/>
          <w:color w:val="auto"/>
          <w:highlight w:val="none"/>
        </w:rPr>
        <w:t>全面提升社会文明程度</w:t>
      </w:r>
      <w:bookmarkEnd w:id="40"/>
    </w:p>
    <w:p w14:paraId="56D7E37F">
      <w:pPr>
        <w:adjustRightInd w:val="0"/>
        <w:snapToGrid w:val="0"/>
        <w:spacing w:line="600" w:lineRule="exact"/>
        <w:ind w:firstLine="643"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践行社会主义核心价值观。</w:t>
      </w:r>
      <w:r>
        <w:rPr>
          <w:rFonts w:hint="eastAsia" w:ascii="仿宋_GB2312" w:hAnsi="仿宋_GB2312" w:eastAsia="仿宋_GB2312" w:cs="仿宋_GB2312"/>
          <w:b w:val="0"/>
          <w:bCs w:val="0"/>
          <w:color w:val="auto"/>
          <w:sz w:val="32"/>
          <w:szCs w:val="32"/>
          <w:highlight w:val="none"/>
        </w:rPr>
        <w:t>深入实施红色基因传承工程，挖掘台儿庄大战</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运河支队等</w:t>
      </w:r>
      <w:r>
        <w:rPr>
          <w:rFonts w:hint="eastAsia" w:ascii="仿宋_GB2312" w:hAnsi="仿宋_GB2312" w:eastAsia="仿宋_GB2312" w:cs="仿宋_GB2312"/>
          <w:b w:val="0"/>
          <w:bCs w:val="0"/>
          <w:color w:val="auto"/>
          <w:sz w:val="32"/>
          <w:szCs w:val="32"/>
          <w:highlight w:val="none"/>
        </w:rPr>
        <w:t>红色资源，弘扬伟大抗战精神，管好用好爱国主义教育基地、全民国防教育基地。切实抓好《中国共产党思想政治工作条例》的学习宣传和贯彻落实，建立健全区委全面领导、宣传部门牵头负责、区直有关部门齐抓共管的工作机制，进一步提高思想政治工作科学化制度化规范化水平。深化全环境立德树人工程，推进校园文化建设，重点做好未成年人心理健康教育</w:t>
      </w:r>
      <w:r>
        <w:rPr>
          <w:rFonts w:hint="eastAsia" w:ascii="仿宋_GB2312" w:hAnsi="仿宋_GB2312" w:eastAsia="仿宋_GB2312" w:cs="仿宋_GB2312"/>
          <w:color w:val="auto"/>
          <w:sz w:val="32"/>
          <w:szCs w:val="32"/>
          <w:highlight w:val="none"/>
        </w:rPr>
        <w:t>。</w:t>
      </w:r>
    </w:p>
    <w:p w14:paraId="6509B90B">
      <w:pPr>
        <w:adjustRightInd w:val="0"/>
        <w:snapToGrid w:val="0"/>
        <w:spacing w:line="600" w:lineRule="exact"/>
        <w:ind w:firstLine="643"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持续提升城乡文明水平。</w:t>
      </w:r>
      <w:r>
        <w:rPr>
          <w:rFonts w:hint="eastAsia" w:ascii="仿宋_GB2312" w:hAnsi="仿宋_GB2312" w:eastAsia="仿宋_GB2312" w:cs="仿宋_GB2312"/>
          <w:b w:val="0"/>
          <w:bCs/>
          <w:color w:val="auto"/>
          <w:sz w:val="32"/>
          <w:szCs w:val="32"/>
          <w:highlight w:val="none"/>
        </w:rPr>
        <w:t>改进创新文明培育、文明实践、文明创建工作机制，着力提升城市品质、提高社会文明程度。加大先进典型选树宣传力度，精心组织并扎实推进“台儿庄好人”“新时代好少年”“教书育人榜样”“五好家庭”等4项区级典型选树项目的选树宣传工作。实施文明乡风建设工程，开展“移风易俗主题宣传教育月”活动，弘扬新风正气，涵养文明新风。</w:t>
      </w:r>
      <w:r>
        <w:rPr>
          <w:rFonts w:hint="eastAsia" w:ascii="仿宋_GB2312" w:hAnsi="仿宋_GB2312" w:eastAsia="仿宋_GB2312" w:cs="仿宋_GB2312"/>
          <w:b w:val="0"/>
          <w:bCs/>
          <w:color w:val="auto"/>
          <w:sz w:val="32"/>
          <w:szCs w:val="32"/>
          <w:highlight w:val="none"/>
          <w:lang w:val="en-US" w:eastAsia="zh-CN"/>
        </w:rPr>
        <w:t>扎实推进</w:t>
      </w:r>
      <w:r>
        <w:rPr>
          <w:rFonts w:hint="eastAsia" w:ascii="仿宋_GB2312" w:hAnsi="仿宋_GB2312" w:eastAsia="仿宋_GB2312" w:cs="仿宋_GB2312"/>
          <w:b w:val="0"/>
          <w:bCs/>
          <w:color w:val="auto"/>
          <w:sz w:val="32"/>
          <w:szCs w:val="32"/>
          <w:highlight w:val="none"/>
        </w:rPr>
        <w:t>文明实践工作，拓展文明实践阵地场所，常态化组织“我们的节日”等文明实践活动。做好新一轮全国文明城市创建工作，推动创建文明城市向建设城市文明转变</w:t>
      </w:r>
      <w:r>
        <w:rPr>
          <w:rFonts w:hint="eastAsia" w:ascii="仿宋_GB2312" w:hAnsi="仿宋_GB2312" w:eastAsia="仿宋_GB2312" w:cs="仿宋_GB2312"/>
          <w:color w:val="auto"/>
          <w:sz w:val="32"/>
          <w:szCs w:val="32"/>
          <w:highlight w:val="none"/>
        </w:rPr>
        <w:t>。</w:t>
      </w:r>
    </w:p>
    <w:p w14:paraId="78E95F8E">
      <w:pPr>
        <w:pStyle w:val="12"/>
        <w:adjustRightInd w:val="0"/>
        <w:snapToGrid w:val="0"/>
        <w:spacing w:line="60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强化主流思想舆论引导</w:t>
      </w:r>
      <w:r>
        <w:rPr>
          <w:rFonts w:hint="eastAsia" w:ascii="黑体" w:hAnsi="黑体" w:eastAsia="黑体" w:cs="黑体"/>
          <w:color w:val="auto"/>
          <w:sz w:val="32"/>
          <w:szCs w:val="32"/>
          <w:highlight w:val="none"/>
        </w:rPr>
        <w:t>。</w:t>
      </w:r>
      <w:r>
        <w:rPr>
          <w:rFonts w:hint="eastAsia" w:ascii="仿宋_GB2312" w:hAnsi="仿宋_GB2312" w:eastAsia="仿宋_GB2312" w:cs="仿宋_GB2312"/>
          <w:b w:val="0"/>
          <w:bCs/>
          <w:color w:val="auto"/>
          <w:kern w:val="2"/>
          <w:sz w:val="32"/>
          <w:szCs w:val="32"/>
          <w:highlight w:val="none"/>
          <w:lang w:val="en-US" w:eastAsia="zh-CN" w:bidi="ar-SA"/>
        </w:rPr>
        <w:t>加强习近平新时代中国特色社会主义思想宣传教育，健全用党的创新理论武装全党、教育人民、指导实践工作体系。提升党委（党组）理论学习中心组学习质效，丰富深化“主题联学”形式。持续擦亮“理响讲台”宣讲品牌，推动理论宣讲从单向的“传声筒”转变为连接党心民意的“连心桥”。全面夯实意识形态工作责任制，维护意识形态领域安全稳定。高标准推进融媒体中心转型升级、融合发展，强化“策采编发评”一体化能力，打造受众精准、传播高效的融媒矩阵。充分发挥本土特色和优势，以突出的地域性、民间性、贴近性讲好身边的中国故事，拓展对外宣传路径，提升国际传播效能。健全完善重大舆情和突发事件舆论引导工作机制，强化重大决策事项舆情风险评估，建好用好突发事件应急处置“口径库、案例库、素材库”，稳妥做好舆情引导和应对处置。全面加强网络信息内容和网络安全排查检查，开展“清朗”系列专项行动，持续净化网络空间，筑牢网络安全防线。</w:t>
      </w:r>
    </w:p>
    <w:p w14:paraId="271A239C">
      <w:pPr>
        <w:pStyle w:val="6"/>
        <w:bidi w:val="0"/>
        <w:rPr>
          <w:rFonts w:hint="eastAsia"/>
          <w:color w:val="auto"/>
          <w:highlight w:val="none"/>
        </w:rPr>
      </w:pPr>
      <w:bookmarkStart w:id="41" w:name="_Toc207569912"/>
      <w:bookmarkStart w:id="42" w:name="_Toc27775"/>
      <w:r>
        <w:rPr>
          <w:rFonts w:hint="eastAsia"/>
          <w:color w:val="auto"/>
          <w:highlight w:val="none"/>
        </w:rPr>
        <w:t>第二节 保护</w:t>
      </w:r>
      <w:r>
        <w:rPr>
          <w:color w:val="auto"/>
          <w:highlight w:val="none"/>
        </w:rPr>
        <w:t>传承</w:t>
      </w:r>
      <w:r>
        <w:rPr>
          <w:rFonts w:hint="eastAsia"/>
          <w:color w:val="auto"/>
          <w:highlight w:val="none"/>
        </w:rPr>
        <w:t>优秀传统文化</w:t>
      </w:r>
      <w:bookmarkEnd w:id="41"/>
      <w:bookmarkEnd w:id="42"/>
    </w:p>
    <w:p w14:paraId="54F75140">
      <w:pPr>
        <w:pStyle w:val="12"/>
        <w:adjustRightInd w:val="0"/>
        <w:snapToGrid w:val="0"/>
        <w:spacing w:line="600" w:lineRule="exact"/>
        <w:ind w:firstLine="643"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加强</w:t>
      </w:r>
      <w:r>
        <w:rPr>
          <w:rFonts w:ascii="仿宋_GB2312" w:hAnsi="仿宋_GB2312" w:eastAsia="仿宋_GB2312" w:cs="仿宋_GB2312"/>
          <w:b/>
          <w:color w:val="auto"/>
          <w:sz w:val="32"/>
          <w:szCs w:val="32"/>
          <w:highlight w:val="none"/>
        </w:rPr>
        <w:t>文物保护利用。</w:t>
      </w:r>
      <w:r>
        <w:rPr>
          <w:rFonts w:hint="eastAsia" w:ascii="仿宋_GB2312" w:hAnsi="仿宋_GB2312" w:eastAsia="仿宋_GB2312" w:cs="仿宋_GB2312"/>
          <w:color w:val="auto"/>
          <w:sz w:val="32"/>
          <w:szCs w:val="32"/>
          <w:highlight w:val="none"/>
          <w:lang w:eastAsia="zh-CN"/>
        </w:rPr>
        <w:t>高质量完成第四次全国</w:t>
      </w:r>
      <w:r>
        <w:rPr>
          <w:rFonts w:hint="eastAsia" w:ascii="仿宋_GB2312" w:hAnsi="仿宋_GB2312" w:eastAsia="仿宋_GB2312" w:cs="仿宋_GB2312"/>
          <w:color w:val="auto"/>
          <w:sz w:val="32"/>
          <w:szCs w:val="32"/>
          <w:highlight w:val="none"/>
        </w:rPr>
        <w:t>文物普查，健全完善不可移动文物保护机制，</w:t>
      </w:r>
      <w:r>
        <w:rPr>
          <w:rFonts w:hint="eastAsia" w:ascii="仿宋_GB2312" w:hAnsi="仿宋_GB2312" w:eastAsia="仿宋_GB2312" w:cs="仿宋_GB2312"/>
          <w:color w:val="auto"/>
          <w:sz w:val="32"/>
          <w:szCs w:val="32"/>
          <w:highlight w:val="none"/>
          <w:lang w:eastAsia="zh-CN"/>
        </w:rPr>
        <w:t>进一步</w:t>
      </w:r>
      <w:r>
        <w:rPr>
          <w:rFonts w:hint="eastAsia" w:ascii="仿宋_GB2312" w:hAnsi="仿宋_GB2312" w:eastAsia="仿宋_GB2312" w:cs="仿宋_GB2312"/>
          <w:color w:val="auto"/>
          <w:sz w:val="32"/>
          <w:szCs w:val="32"/>
          <w:highlight w:val="none"/>
        </w:rPr>
        <w:t>摸清文物</w:t>
      </w:r>
      <w:r>
        <w:rPr>
          <w:rFonts w:hint="eastAsia" w:ascii="仿宋_GB2312" w:hAnsi="仿宋_GB2312" w:eastAsia="仿宋_GB2312" w:cs="仿宋_GB2312"/>
          <w:color w:val="auto"/>
          <w:sz w:val="32"/>
          <w:szCs w:val="32"/>
          <w:highlight w:val="none"/>
          <w:lang w:eastAsia="zh-CN"/>
        </w:rPr>
        <w:t>资源底数。推进博物馆设立备案，挖掘文物价值，推动文物资源与文旅融合、文创研发等有机结合，做好活化利用。</w:t>
      </w:r>
      <w:r>
        <w:rPr>
          <w:rFonts w:hint="eastAsia" w:ascii="仿宋_GB2312" w:hAnsi="仿宋_GB2312" w:eastAsia="仿宋_GB2312" w:cs="仿宋_GB2312"/>
          <w:color w:val="auto"/>
          <w:sz w:val="32"/>
          <w:szCs w:val="32"/>
          <w:highlight w:val="none"/>
        </w:rPr>
        <w:t>坚持抢救性和预防性保护并重，实施晒米城遗址考古调查勘探、黑山西茅草房居落修缮保护、台儿庄大战旧址整体陈列展示等项</w:t>
      </w:r>
      <w:r>
        <w:rPr>
          <w:rFonts w:hint="eastAsia" w:ascii="仿宋_GB2312" w:hAnsi="仿宋_GB2312" w:eastAsia="仿宋_GB2312" w:cs="仿宋_GB2312"/>
          <w:color w:val="auto"/>
          <w:sz w:val="32"/>
          <w:szCs w:val="32"/>
          <w:highlight w:val="none"/>
          <w:lang w:eastAsia="zh-CN"/>
        </w:rPr>
        <w:t>目</w:t>
      </w:r>
      <w:r>
        <w:rPr>
          <w:rFonts w:hint="eastAsia" w:ascii="仿宋_GB2312" w:hAnsi="仿宋_GB2312" w:eastAsia="仿宋_GB2312" w:cs="仿宋_GB2312"/>
          <w:color w:val="auto"/>
          <w:sz w:val="32"/>
          <w:szCs w:val="32"/>
          <w:highlight w:val="none"/>
        </w:rPr>
        <w:t>。落实考古前置制度，对实行“先考古、后出让”制度的土地储备、供应项目和基本建设工程，大力推行考古“调查+勘探”模式。</w:t>
      </w:r>
      <w:r>
        <w:rPr>
          <w:rFonts w:hint="eastAsia" w:ascii="仿宋_GB2312" w:hAnsi="仿宋_GB2312" w:eastAsia="仿宋_GB2312" w:cs="仿宋_GB2312"/>
          <w:color w:val="auto"/>
          <w:sz w:val="32"/>
          <w:szCs w:val="32"/>
          <w:highlight w:val="none"/>
          <w:lang w:eastAsia="zh-CN"/>
        </w:rPr>
        <w:t>严格执行文物保护法律法规，</w:t>
      </w:r>
      <w:r>
        <w:rPr>
          <w:rFonts w:hint="eastAsia" w:ascii="仿宋_GB2312" w:hAnsi="仿宋_GB2312" w:eastAsia="仿宋_GB2312" w:cs="仿宋_GB2312"/>
          <w:color w:val="auto"/>
          <w:sz w:val="32"/>
          <w:szCs w:val="32"/>
          <w:highlight w:val="none"/>
        </w:rPr>
        <w:t>加强文物安全监管，</w:t>
      </w:r>
      <w:r>
        <w:rPr>
          <w:rFonts w:hint="eastAsia" w:ascii="仿宋_GB2312" w:hAnsi="仿宋_GB2312" w:eastAsia="仿宋_GB2312" w:cs="仿宋_GB2312"/>
          <w:color w:val="auto"/>
          <w:sz w:val="32"/>
          <w:szCs w:val="32"/>
          <w:highlight w:val="none"/>
          <w:lang w:eastAsia="zh-CN"/>
        </w:rPr>
        <w:t>压实主体</w:t>
      </w:r>
      <w:r>
        <w:rPr>
          <w:rFonts w:hint="eastAsia" w:ascii="仿宋_GB2312" w:hAnsi="仿宋_GB2312" w:eastAsia="仿宋_GB2312" w:cs="仿宋_GB2312"/>
          <w:color w:val="auto"/>
          <w:sz w:val="32"/>
          <w:szCs w:val="32"/>
          <w:highlight w:val="none"/>
        </w:rPr>
        <w:t>责任，加大执法巡查力度，提升全社会文物保护意识。</w:t>
      </w:r>
    </w:p>
    <w:p w14:paraId="7D8848B6">
      <w:pPr>
        <w:adjustRightInd w:val="0"/>
        <w:snapToGrid w:val="0"/>
        <w:spacing w:line="60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保护传承运河文化。</w:t>
      </w:r>
      <w:r>
        <w:rPr>
          <w:rFonts w:hint="eastAsia" w:ascii="仿宋_GB2312" w:hAnsi="仿宋_GB2312" w:eastAsia="仿宋_GB2312" w:cs="仿宋_GB2312"/>
          <w:color w:val="auto"/>
          <w:sz w:val="32"/>
          <w:szCs w:val="32"/>
          <w:highlight w:val="none"/>
        </w:rPr>
        <w:t>深度参与大运河国家文化公园建设，积极融入大运河文化体验廊道建设，加强台儿庄（月河）段古驳岸、古码头等世界文化遗产保护管理，打造山东大运河文化展示“第一窗口”。开展大运河（枣庄段）方志档案、文集图像、碑刻、水利工程、桥梁码头、工业遗产等领域文献整理</w:t>
      </w:r>
      <w:r>
        <w:rPr>
          <w:rFonts w:ascii="仿宋_GB2312" w:hAnsi="仿宋_GB2312" w:eastAsia="仿宋_GB2312" w:cs="仿宋_GB2312"/>
          <w:color w:val="auto"/>
          <w:sz w:val="32"/>
          <w:szCs w:val="32"/>
          <w:highlight w:val="none"/>
        </w:rPr>
        <w:t>研究</w:t>
      </w:r>
      <w:r>
        <w:rPr>
          <w:rFonts w:hint="eastAsia" w:ascii="仿宋_GB2312" w:hAnsi="仿宋_GB2312" w:eastAsia="仿宋_GB2312" w:cs="仿宋_GB2312"/>
          <w:color w:val="auto"/>
          <w:sz w:val="32"/>
          <w:szCs w:val="32"/>
          <w:highlight w:val="none"/>
        </w:rPr>
        <w:t>，加强沿线古镇、古村、河道案例研究，挖掘阐释运河文化人文价值，弘扬大运河文化精髓。实施文化基因激活工程，加强对鲁南花鼓、传统手工蚕丝制作技艺</w:t>
      </w:r>
      <w:r>
        <w:rPr>
          <w:rFonts w:hint="eastAsia" w:ascii="仿宋_GB2312" w:hAnsi="Times New Roman" w:eastAsia="仿宋_GB2312"/>
          <w:color w:val="auto"/>
          <w:sz w:val="32"/>
          <w:szCs w:val="32"/>
          <w:highlight w:val="none"/>
        </w:rPr>
        <w:t>等非物质文化遗产的挖掘还原</w:t>
      </w:r>
      <w:r>
        <w:rPr>
          <w:rFonts w:hint="eastAsia" w:ascii="仿宋_GB2312" w:hAnsi="仿宋_GB2312" w:eastAsia="仿宋_GB2312" w:cs="仿宋_GB2312"/>
          <w:color w:val="auto"/>
          <w:sz w:val="32"/>
          <w:szCs w:val="32"/>
          <w:highlight w:val="none"/>
        </w:rPr>
        <w:t>，举办“非遗+旅游”融合活动，创新“赏夜景、看非遗、品美食”夜游模式。做好非遗名录申报与传承人培训，探索“互联网+非遗”模式，建设非遗</w:t>
      </w:r>
      <w:r>
        <w:rPr>
          <w:rFonts w:hint="eastAsia" w:ascii="仿宋_GB2312" w:hAnsi="仿宋_GB2312" w:eastAsia="仿宋_GB2312" w:cs="仿宋_GB2312"/>
          <w:color w:val="auto"/>
          <w:sz w:val="32"/>
          <w:szCs w:val="32"/>
          <w:highlight w:val="none"/>
          <w:lang w:val="en-US" w:eastAsia="zh-CN"/>
        </w:rPr>
        <w:t>特色街区</w:t>
      </w:r>
      <w:r>
        <w:rPr>
          <w:rFonts w:hint="eastAsia" w:ascii="仿宋_GB2312" w:hAnsi="仿宋_GB2312" w:eastAsia="仿宋_GB2312" w:cs="仿宋_GB2312"/>
          <w:color w:val="auto"/>
          <w:sz w:val="32"/>
          <w:szCs w:val="32"/>
          <w:highlight w:val="none"/>
        </w:rPr>
        <w:t>，推动传统手造技艺振兴。</w:t>
      </w:r>
    </w:p>
    <w:p w14:paraId="0D6D8178">
      <w:pPr>
        <w:adjustRightInd w:val="0"/>
        <w:snapToGrid w:val="0"/>
        <w:spacing w:line="600" w:lineRule="exact"/>
        <w:ind w:firstLine="643" w:firstLineChars="200"/>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赓续传承红色基因</w:t>
      </w:r>
      <w:r>
        <w:rPr>
          <w:rFonts w:ascii="仿宋_GB2312" w:hAnsi="仿宋_GB2312" w:eastAsia="仿宋_GB2312" w:cs="仿宋_GB2312"/>
          <w:b/>
          <w:color w:val="auto"/>
          <w:sz w:val="32"/>
          <w:szCs w:val="32"/>
          <w:highlight w:val="none"/>
        </w:rPr>
        <w:t>。</w:t>
      </w:r>
      <w:r>
        <w:rPr>
          <w:rFonts w:hint="eastAsia" w:ascii="仿宋_GB2312" w:hAnsi="Times New Roman" w:eastAsia="仿宋_GB2312"/>
          <w:color w:val="auto"/>
          <w:sz w:val="32"/>
          <w:szCs w:val="32"/>
          <w:highlight w:val="none"/>
        </w:rPr>
        <w:t>加大革命文物保护力度，强化红色文化资源管护，加强八路军一一五师运河支队等革命旧址、纪念设施保护，排查安全隐患，创建省级革命文物保护利用示范区。加强红色文化研究阐释，推动运河支队红色历史研究，开展老照片、老档案、手写稿、回忆录、书信等红色史料和实物的抢救性保护。改造提升黄邱山桃花源精品环线漫道，串联红色旅游节点，推出“红色丁庄·古韵流芳”等红色旅游线路，大力发展红色乡村游、红色研学游，开发“战时文化+和平教育”双主题产品。深入实施红色基因传承工程，管好用好台儿庄大战纪念</w:t>
      </w:r>
      <w:r>
        <w:rPr>
          <w:rFonts w:hint="eastAsia" w:ascii="仿宋_GB2312" w:hAnsi="仿宋_GB2312" w:eastAsia="仿宋_GB2312" w:cs="仿宋_GB2312"/>
          <w:color w:val="auto"/>
          <w:sz w:val="32"/>
          <w:szCs w:val="32"/>
          <w:highlight w:val="none"/>
        </w:rPr>
        <w:t>馆等场馆，</w:t>
      </w:r>
      <w:r>
        <w:rPr>
          <w:rFonts w:ascii="仿宋_GB2312" w:hAnsi="仿宋_GB2312" w:eastAsia="仿宋_GB2312" w:cs="仿宋_GB2312"/>
          <w:color w:val="auto"/>
          <w:sz w:val="32"/>
          <w:szCs w:val="32"/>
          <w:highlight w:val="none"/>
        </w:rPr>
        <w:t>打造</w:t>
      </w:r>
      <w:r>
        <w:rPr>
          <w:rFonts w:hint="eastAsia" w:ascii="仿宋_GB2312" w:hAnsi="仿宋_GB2312" w:eastAsia="仿宋_GB2312" w:cs="仿宋_GB2312"/>
          <w:color w:val="auto"/>
          <w:sz w:val="32"/>
          <w:szCs w:val="32"/>
          <w:highlight w:val="none"/>
        </w:rPr>
        <w:t>爱国主义教育基地、全民国防教育基地。</w:t>
      </w:r>
    </w:p>
    <w:p w14:paraId="5938478F">
      <w:pPr>
        <w:pStyle w:val="6"/>
        <w:bidi w:val="0"/>
        <w:rPr>
          <w:rFonts w:hint="eastAsia"/>
          <w:color w:val="auto"/>
          <w:highlight w:val="none"/>
        </w:rPr>
      </w:pPr>
      <w:bookmarkStart w:id="43" w:name="_Toc5565"/>
      <w:bookmarkStart w:id="44" w:name="_Toc207569913"/>
      <w:r>
        <w:rPr>
          <w:rFonts w:hint="eastAsia"/>
          <w:color w:val="auto"/>
          <w:highlight w:val="none"/>
        </w:rPr>
        <w:t>第三节 健全公共文化服务体系</w:t>
      </w:r>
      <w:bookmarkEnd w:id="43"/>
      <w:bookmarkEnd w:id="44"/>
    </w:p>
    <w:p w14:paraId="0DCE871A">
      <w:pPr>
        <w:adjustRightInd w:val="0"/>
        <w:snapToGrid w:val="0"/>
        <w:spacing w:line="60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构建现代公共文化服务体系。</w:t>
      </w:r>
      <w:r>
        <w:rPr>
          <w:rFonts w:hint="eastAsia" w:ascii="仿宋_GB2312" w:hAnsi="仿宋_GB2312" w:eastAsia="仿宋_GB2312" w:cs="仿宋_GB2312"/>
          <w:color w:val="auto"/>
          <w:sz w:val="32"/>
          <w:szCs w:val="32"/>
          <w:highlight w:val="none"/>
        </w:rPr>
        <w:t>突出“均等化、智慧化、品质化”，结合“人口数量”和“服务半径”指标，立足使用需求，通过新建、改建、改造等方式，加强城乡公共文化</w:t>
      </w:r>
      <w:r>
        <w:rPr>
          <w:rFonts w:hint="eastAsia" w:ascii="仿宋_GB2312" w:hAnsi="Times New Roman" w:eastAsia="仿宋_GB2312"/>
          <w:color w:val="auto"/>
          <w:sz w:val="32"/>
          <w:szCs w:val="32"/>
          <w:highlight w:val="none"/>
        </w:rPr>
        <w:t>服务体系一体建设，提高基本公共文化服务普惠性和均等化水平。持续改造村（社区）综合性文化服务中心与村级文体广场，完善“区</w:t>
      </w:r>
      <w:r>
        <w:rPr>
          <w:rFonts w:hint="eastAsia" w:ascii="仿宋_GB2312" w:hAnsi="Times New Roman" w:eastAsia="仿宋_GB2312"/>
          <w:color w:val="auto"/>
          <w:sz w:val="32"/>
          <w:szCs w:val="32"/>
          <w:highlight w:val="none"/>
          <w:lang w:val="en-US" w:eastAsia="zh-CN"/>
        </w:rPr>
        <w:t>–</w:t>
      </w:r>
      <w:r>
        <w:rPr>
          <w:rFonts w:hint="eastAsia" w:ascii="仿宋_GB2312" w:hAnsi="Times New Roman" w:eastAsia="仿宋_GB2312"/>
          <w:color w:val="auto"/>
          <w:sz w:val="32"/>
          <w:szCs w:val="32"/>
          <w:highlight w:val="none"/>
        </w:rPr>
        <w:t>镇（街）</w:t>
      </w:r>
      <w:r>
        <w:rPr>
          <w:rFonts w:hint="eastAsia" w:ascii="仿宋_GB2312" w:hAnsi="Times New Roman" w:eastAsia="仿宋_GB2312"/>
          <w:color w:val="auto"/>
          <w:sz w:val="32"/>
          <w:szCs w:val="32"/>
          <w:highlight w:val="none"/>
          <w:lang w:val="en-US" w:eastAsia="zh-CN"/>
        </w:rPr>
        <w:t>–</w:t>
      </w:r>
      <w:r>
        <w:rPr>
          <w:rFonts w:hint="eastAsia" w:ascii="仿宋_GB2312" w:hAnsi="Times New Roman" w:eastAsia="仿宋_GB2312"/>
          <w:color w:val="auto"/>
          <w:sz w:val="32"/>
          <w:szCs w:val="32"/>
          <w:highlight w:val="none"/>
        </w:rPr>
        <w:t>村（社区）”三级网络，打造“15分钟公共文化服务圈”。创新打造景区博物馆、民俗文化村</w:t>
      </w:r>
      <w:r>
        <w:rPr>
          <w:rFonts w:hint="eastAsia" w:ascii="仿宋_GB2312" w:hAnsi="Times New Roman" w:eastAsia="仿宋_GB2312"/>
          <w:color w:val="auto"/>
          <w:sz w:val="32"/>
          <w:szCs w:val="32"/>
          <w:highlight w:val="none"/>
          <w:lang w:eastAsia="zh-CN"/>
        </w:rPr>
        <w:t>、</w:t>
      </w:r>
      <w:r>
        <w:rPr>
          <w:rFonts w:hint="eastAsia" w:ascii="仿宋_GB2312" w:hAnsi="Times New Roman" w:eastAsia="仿宋_GB2312"/>
          <w:color w:val="auto"/>
          <w:sz w:val="32"/>
          <w:szCs w:val="32"/>
          <w:highlight w:val="none"/>
        </w:rPr>
        <w:t>公益电影社区放映厅，推广“城市书房”“文化驿站”“文化书院”等新型文化空间。加强台儿庄区</w:t>
      </w:r>
      <w:r>
        <w:rPr>
          <w:rFonts w:hint="eastAsia" w:ascii="仿宋_GB2312" w:hAnsi="Times New Roman" w:eastAsia="仿宋_GB2312"/>
          <w:color w:val="auto"/>
          <w:sz w:val="32"/>
          <w:szCs w:val="32"/>
          <w:highlight w:val="none"/>
          <w:lang w:eastAsia="zh-CN"/>
        </w:rPr>
        <w:t>文</w:t>
      </w:r>
      <w:r>
        <w:rPr>
          <w:rFonts w:hint="eastAsia" w:ascii="仿宋_GB2312" w:hAnsi="Times New Roman" w:eastAsia="仿宋_GB2312" w:cs="Times New Roman"/>
          <w:color w:val="auto"/>
          <w:sz w:val="32"/>
          <w:szCs w:val="32"/>
          <w:highlight w:val="none"/>
          <w:lang w:eastAsia="zh-CN"/>
        </w:rPr>
        <w:t>化馆图书馆分馆建设，推动图书资源通借通还、数字服务互联共享。</w:t>
      </w:r>
      <w:r>
        <w:rPr>
          <w:rFonts w:hint="eastAsia" w:ascii="仿宋_GB2312" w:hAnsi="Times New Roman" w:eastAsia="仿宋_GB2312"/>
          <w:color w:val="auto"/>
          <w:sz w:val="32"/>
          <w:szCs w:val="32"/>
          <w:highlight w:val="none"/>
        </w:rPr>
        <w:t>健全公共文化场所管理标准，强化免费开放保障，创新“线上+线下”融合服务模式，推进文化与旅游</w:t>
      </w:r>
      <w:r>
        <w:rPr>
          <w:rFonts w:hint="eastAsia" w:ascii="仿宋_GB2312" w:hAnsi="Times New Roman" w:eastAsia="仿宋_GB2312"/>
          <w:color w:val="auto"/>
          <w:sz w:val="32"/>
          <w:szCs w:val="32"/>
          <w:highlight w:val="none"/>
          <w:lang w:val="en-US" w:eastAsia="zh-CN"/>
        </w:rPr>
        <w:t>—</w:t>
      </w:r>
      <w:r>
        <w:rPr>
          <w:rFonts w:hint="eastAsia" w:ascii="仿宋_GB2312" w:hAnsi="Times New Roman" w:eastAsia="仿宋_GB2312"/>
          <w:color w:val="auto"/>
          <w:sz w:val="32"/>
          <w:szCs w:val="32"/>
          <w:highlight w:val="none"/>
        </w:rPr>
        <w:t>公共服务机构功能融合试点。</w:t>
      </w:r>
    </w:p>
    <w:p w14:paraId="0B61D57E">
      <w:pPr>
        <w:adjustRightInd w:val="0"/>
        <w:snapToGrid w:val="0"/>
        <w:spacing w:line="600" w:lineRule="exact"/>
        <w:ind w:firstLine="643" w:firstLineChars="200"/>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b/>
          <w:color w:val="auto"/>
          <w:sz w:val="32"/>
          <w:szCs w:val="32"/>
          <w:highlight w:val="none"/>
          <w:shd w:val="clear" w:color="auto" w:fill="FFFFFF"/>
        </w:rPr>
        <w:t>繁荣城乡群众文化生活</w:t>
      </w:r>
      <w:r>
        <w:rPr>
          <w:rFonts w:hint="eastAsia" w:ascii="仿宋_GB2312" w:hAnsi="仿宋_GB2312" w:eastAsia="仿宋_GB2312" w:cs="仿宋_GB2312"/>
          <w:color w:val="auto"/>
          <w:sz w:val="32"/>
          <w:szCs w:val="32"/>
          <w:highlight w:val="none"/>
          <w:shd w:val="clear" w:color="auto" w:fill="FFFFFF"/>
        </w:rPr>
        <w:t>。</w:t>
      </w:r>
      <w:r>
        <w:rPr>
          <w:rFonts w:hint="eastAsia" w:ascii="仿宋_GB2312" w:hAnsi="仿宋_GB2312" w:eastAsia="仿宋_GB2312" w:cs="仿宋_GB2312"/>
          <w:color w:val="auto"/>
          <w:sz w:val="32"/>
          <w:szCs w:val="32"/>
          <w:highlight w:val="none"/>
        </w:rPr>
        <w:t>深化“台城有戏·四季满意”文化惠民品牌，扎实推进“一村一年一场戏”惠民演出活动。依托镇（街）文化站、村（社区）文化活动中心和文化广场，</w:t>
      </w:r>
      <w:r>
        <w:rPr>
          <w:rFonts w:hint="eastAsia" w:ascii="仿宋_GB2312" w:hAnsi="仿宋_GB2312" w:eastAsia="仿宋_GB2312" w:cs="仿宋_GB2312"/>
          <w:color w:val="auto"/>
          <w:sz w:val="32"/>
          <w:szCs w:val="32"/>
          <w:highlight w:val="none"/>
          <w:lang w:eastAsia="zh-CN"/>
        </w:rPr>
        <w:t>广泛开展</w:t>
      </w:r>
      <w:r>
        <w:rPr>
          <w:rFonts w:hint="eastAsia" w:ascii="仿宋_GB2312" w:hAnsi="仿宋_GB2312" w:eastAsia="仿宋_GB2312" w:cs="仿宋_GB2312"/>
          <w:color w:val="auto"/>
          <w:sz w:val="32"/>
          <w:szCs w:val="32"/>
          <w:highlight w:val="none"/>
          <w:lang w:val="en-US" w:eastAsia="zh-CN"/>
        </w:rPr>
        <w:t>群众性小戏小剧、全民阅读</w:t>
      </w:r>
      <w:r>
        <w:rPr>
          <w:rFonts w:hint="eastAsia" w:ascii="仿宋_GB2312" w:hAnsi="仿宋_GB2312" w:eastAsia="仿宋_GB2312" w:cs="仿宋_GB2312"/>
          <w:color w:val="auto"/>
          <w:sz w:val="32"/>
          <w:szCs w:val="32"/>
          <w:highlight w:val="none"/>
        </w:rPr>
        <w:t>推广</w:t>
      </w:r>
      <w:r>
        <w:rPr>
          <w:rFonts w:hint="eastAsia" w:ascii="仿宋_GB2312" w:hAnsi="仿宋_GB2312" w:eastAsia="仿宋_GB2312" w:cs="仿宋_GB2312"/>
          <w:color w:val="auto"/>
          <w:sz w:val="32"/>
          <w:szCs w:val="32"/>
          <w:highlight w:val="none"/>
          <w:lang w:val="en-US" w:eastAsia="zh-CN"/>
        </w:rPr>
        <w:t>、公益电影放映、</w:t>
      </w:r>
      <w:r>
        <w:rPr>
          <w:rFonts w:hint="eastAsia" w:ascii="仿宋_GB2312" w:hAnsi="仿宋_GB2312" w:eastAsia="仿宋_GB2312" w:cs="仿宋_GB2312"/>
          <w:color w:val="auto"/>
          <w:sz w:val="32"/>
          <w:szCs w:val="32"/>
          <w:highlight w:val="none"/>
        </w:rPr>
        <w:t>公益辅导培训、“四季村晚”</w:t>
      </w:r>
      <w:r>
        <w:rPr>
          <w:rFonts w:hint="eastAsia" w:ascii="仿宋_GB2312" w:hAnsi="仿宋_GB2312" w:eastAsia="仿宋_GB2312" w:cs="仿宋_GB2312"/>
          <w:color w:val="auto"/>
          <w:sz w:val="32"/>
          <w:szCs w:val="32"/>
          <w:highlight w:val="none"/>
          <w:lang w:val="en-US" w:eastAsia="zh-CN"/>
        </w:rPr>
        <w:t>等</w:t>
      </w:r>
      <w:r>
        <w:rPr>
          <w:rFonts w:hint="eastAsia" w:ascii="仿宋_GB2312" w:hAnsi="仿宋_GB2312" w:eastAsia="仿宋_GB2312" w:cs="仿宋_GB2312"/>
          <w:color w:val="auto"/>
          <w:sz w:val="32"/>
          <w:szCs w:val="32"/>
          <w:highlight w:val="none"/>
        </w:rPr>
        <w:t>文化惠民</w:t>
      </w:r>
      <w:r>
        <w:rPr>
          <w:rFonts w:hint="eastAsia" w:ascii="仿宋_GB2312" w:hAnsi="仿宋_GB2312" w:eastAsia="仿宋_GB2312" w:cs="仿宋_GB2312"/>
          <w:color w:val="auto"/>
          <w:sz w:val="32"/>
          <w:szCs w:val="32"/>
          <w:highlight w:val="none"/>
          <w:lang w:val="en-US" w:eastAsia="zh-CN"/>
        </w:rPr>
        <w:t>活动，丰富群众精神文化生活</w:t>
      </w:r>
      <w:r>
        <w:rPr>
          <w:rFonts w:hint="eastAsia" w:ascii="仿宋_GB2312" w:hAnsi="仿宋_GB2312" w:eastAsia="仿宋_GB2312" w:cs="仿宋_GB2312"/>
          <w:color w:val="auto"/>
          <w:sz w:val="32"/>
          <w:szCs w:val="32"/>
          <w:highlight w:val="none"/>
        </w:rPr>
        <w:t>。围绕“春韵、夏趣、秋实、冬暖”四季核心主题，创新举办春季“赏花会”、夏季“音乐节”、秋季“丰收汇”、冬季“惠民季”等系列活动，构建“月月有主题、季季有亮点”的活动矩阵。依托区文化馆、镇</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街</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综合文化站等开展“非遗进社区”“非遗进校园”等系列活动。围绕红色文化、运河文化创作大型演艺剧目与现实题材作品，开展地方戏进校园、进社区活动，扶持农村庄户剧团、农村戏曲表演队、戏曲传承人等参与戏曲进乡村巡演活动。</w:t>
      </w:r>
    </w:p>
    <w:p w14:paraId="10C088FE">
      <w:pPr>
        <w:adjustRightInd w:val="0"/>
        <w:snapToGrid w:val="0"/>
        <w:spacing w:line="600" w:lineRule="exact"/>
        <w:ind w:firstLine="643" w:firstLineChars="200"/>
        <w:rPr>
          <w:rFonts w:hint="eastAsia" w:ascii="仿宋_GB2312" w:hAnsi="仿宋" w:eastAsia="仿宋_GB2312" w:cs="仿宋"/>
          <w:color w:val="auto"/>
          <w:sz w:val="32"/>
          <w:szCs w:val="32"/>
          <w:highlight w:val="none"/>
          <w:shd w:val="clear" w:color="auto" w:fill="FFFFFF"/>
        </w:rPr>
      </w:pPr>
      <w:r>
        <w:rPr>
          <w:rFonts w:hint="eastAsia" w:ascii="仿宋_GB2312" w:hAnsi="仿宋_GB2312" w:eastAsia="仿宋_GB2312" w:cs="仿宋_GB2312"/>
          <w:b/>
          <w:bCs/>
          <w:color w:val="auto"/>
          <w:sz w:val="32"/>
          <w:szCs w:val="32"/>
          <w:highlight w:val="none"/>
        </w:rPr>
        <w:t>创新公共文化服务方式。</w:t>
      </w:r>
      <w:r>
        <w:rPr>
          <w:rFonts w:hint="eastAsia" w:ascii="仿宋_GB2312" w:hAnsi="仿宋_GB2312" w:eastAsia="仿宋_GB2312" w:cs="仿宋_GB2312"/>
          <w:b w:val="0"/>
          <w:bCs w:val="0"/>
          <w:color w:val="auto"/>
          <w:sz w:val="32"/>
          <w:szCs w:val="32"/>
          <w:highlight w:val="none"/>
        </w:rPr>
        <w:t>加大文艺精品创作力度，鼓励支持文艺工作者深入生活、扎根人民，聚焦红色文化、运河文化、鲁南民俗文化等地域文化资源，加大偪阳故城考古资料整理和历史价值挖掘阐释研究，推出《何以台儿庄》等一批体现地方特色、反映时代精神、群众喜闻乐见的精品佳作。用好“公共文化云”平台，实现文化资源数字化共享，推广“订单式”“菜单式”“预约式”服务，推动优质文化资源直达基层。组建“戏曲名家工作室”，镇街“乡土文艺人才”库，建立“结对子、种文化”志愿服务机制，机动灵活赴社区和村开展“群众演、群众看”活动，推动优质文化资源下沉乡村。加强公共文化服务与教育、卫生、科普、民政等领域惠民项目融合发展，探索“文化+旅游”“文化+科技”“文化+教育”等融合发展路径</w:t>
      </w:r>
      <w:r>
        <w:rPr>
          <w:rFonts w:hint="eastAsia" w:ascii="仿宋_GB2312" w:hAnsi="仿宋_GB2312" w:eastAsia="仿宋_GB2312" w:cs="仿宋_GB2312"/>
          <w:color w:val="auto"/>
          <w:sz w:val="32"/>
          <w:szCs w:val="32"/>
          <w:highlight w:val="none"/>
        </w:rPr>
        <w:t>。</w:t>
      </w:r>
    </w:p>
    <w:p w14:paraId="17A24D4A">
      <w:pPr>
        <w:pStyle w:val="6"/>
        <w:bidi w:val="0"/>
        <w:rPr>
          <w:rFonts w:hint="eastAsia"/>
          <w:color w:val="auto"/>
          <w:highlight w:val="none"/>
        </w:rPr>
      </w:pPr>
      <w:bookmarkStart w:id="45" w:name="_Toc9249"/>
      <w:r>
        <w:rPr>
          <w:rFonts w:hint="eastAsia"/>
          <w:color w:val="auto"/>
          <w:highlight w:val="none"/>
        </w:rPr>
        <w:t>第</w:t>
      </w:r>
      <w:r>
        <w:rPr>
          <w:rFonts w:hint="eastAsia"/>
          <w:color w:val="auto"/>
          <w:highlight w:val="none"/>
          <w:lang w:val="en-US" w:eastAsia="zh-CN"/>
        </w:rPr>
        <w:t>四</w:t>
      </w:r>
      <w:r>
        <w:rPr>
          <w:rFonts w:hint="eastAsia"/>
          <w:color w:val="auto"/>
          <w:highlight w:val="none"/>
        </w:rPr>
        <w:t>节 加快培育发展文化产业</w:t>
      </w:r>
      <w:bookmarkEnd w:id="45"/>
    </w:p>
    <w:p w14:paraId="20674074">
      <w:pPr>
        <w:adjustRightInd w:val="0"/>
        <w:snapToGrid w:val="0"/>
        <w:spacing w:line="600" w:lineRule="exact"/>
        <w:ind w:firstLine="643" w:firstLineChars="200"/>
        <w:rPr>
          <w:rFonts w:hint="eastAsia" w:ascii="仿宋_GB2312" w:hAnsi="Times New Roman" w:eastAsia="仿宋_GB2312"/>
          <w:color w:val="auto"/>
          <w:sz w:val="32"/>
          <w:szCs w:val="32"/>
          <w:highlight w:val="none"/>
        </w:rPr>
      </w:pPr>
      <w:r>
        <w:rPr>
          <w:rFonts w:hint="eastAsia" w:ascii="仿宋_GB2312" w:hAnsi="Times New Roman" w:eastAsia="仿宋_GB2312"/>
          <w:b/>
          <w:color w:val="auto"/>
          <w:sz w:val="32"/>
          <w:szCs w:val="32"/>
          <w:highlight w:val="none"/>
        </w:rPr>
        <w:t>提升</w:t>
      </w:r>
      <w:r>
        <w:rPr>
          <w:rFonts w:ascii="仿宋_GB2312" w:hAnsi="Times New Roman" w:eastAsia="仿宋_GB2312"/>
          <w:b/>
          <w:color w:val="auto"/>
          <w:sz w:val="32"/>
          <w:szCs w:val="32"/>
          <w:highlight w:val="none"/>
        </w:rPr>
        <w:t>打造</w:t>
      </w:r>
      <w:r>
        <w:rPr>
          <w:rFonts w:hint="eastAsia" w:ascii="仿宋_GB2312" w:hAnsi="Times New Roman" w:eastAsia="仿宋_GB2312"/>
          <w:b/>
          <w:color w:val="auto"/>
          <w:sz w:val="32"/>
          <w:szCs w:val="32"/>
          <w:highlight w:val="none"/>
        </w:rPr>
        <w:t>台儿庄古城文化产业园</w:t>
      </w:r>
      <w:r>
        <w:rPr>
          <w:rFonts w:hint="eastAsia" w:ascii="仿宋_GB2312" w:hAnsi="Times New Roman" w:eastAsia="仿宋_GB2312"/>
          <w:color w:val="auto"/>
          <w:sz w:val="32"/>
          <w:szCs w:val="32"/>
          <w:highlight w:val="none"/>
        </w:rPr>
        <w:t>。用好国家级文化产业示范园区金字招牌，坚持高水平建设、高标准管理、高质量发展，</w:t>
      </w:r>
      <w:r>
        <w:rPr>
          <w:rFonts w:hint="eastAsia" w:ascii="仿宋_GB2312" w:hAnsi="Times New Roman" w:eastAsia="仿宋_GB2312"/>
          <w:color w:val="auto"/>
          <w:sz w:val="32"/>
          <w:szCs w:val="32"/>
          <w:highlight w:val="none"/>
          <w:lang w:eastAsia="zh-CN"/>
        </w:rPr>
        <w:t>强化古城龙头引领作用，</w:t>
      </w:r>
      <w:r>
        <w:rPr>
          <w:rFonts w:hint="eastAsia" w:ascii="仿宋_GB2312" w:hAnsi="Times New Roman" w:eastAsia="仿宋_GB2312"/>
          <w:color w:val="auto"/>
          <w:sz w:val="32"/>
          <w:szCs w:val="32"/>
          <w:highlight w:val="none"/>
        </w:rPr>
        <w:t>持续加强内容创新、业态创新、技术创新和发展模式创新，不断提升建设发展水平和品牌影响力。实施重大项目带动战略，推进台儿庄古城西门、东门、南门片区开发，建设古城游客服务中心暨智慧停车场、庆余里等标志性项目。强化精准招商引资，</w:t>
      </w:r>
      <w:r>
        <w:rPr>
          <w:rFonts w:ascii="仿宋_GB2312" w:hAnsi="Times New Roman" w:eastAsia="仿宋_GB2312"/>
          <w:color w:val="auto"/>
          <w:sz w:val="32"/>
          <w:szCs w:val="32"/>
          <w:highlight w:val="none"/>
        </w:rPr>
        <w:t>培育引进</w:t>
      </w:r>
      <w:r>
        <w:rPr>
          <w:rFonts w:hint="eastAsia" w:ascii="仿宋_GB2312" w:hAnsi="Times New Roman" w:eastAsia="仿宋_GB2312"/>
          <w:color w:val="auto"/>
          <w:sz w:val="32"/>
          <w:szCs w:val="32"/>
          <w:highlight w:val="none"/>
        </w:rPr>
        <w:t>大型文旅综合体、数字文创、</w:t>
      </w:r>
      <w:r>
        <w:rPr>
          <w:rFonts w:ascii="仿宋_GB2312" w:hAnsi="Times New Roman" w:eastAsia="仿宋_GB2312"/>
          <w:color w:val="auto"/>
          <w:sz w:val="32"/>
          <w:szCs w:val="32"/>
          <w:highlight w:val="none"/>
        </w:rPr>
        <w:t>影视娱乐、游戏制作</w:t>
      </w:r>
      <w:r>
        <w:rPr>
          <w:rFonts w:hint="eastAsia" w:ascii="仿宋_GB2312" w:hAnsi="Times New Roman" w:eastAsia="仿宋_GB2312"/>
          <w:color w:val="auto"/>
          <w:sz w:val="32"/>
          <w:szCs w:val="32"/>
          <w:highlight w:val="none"/>
        </w:rPr>
        <w:t>等高端精品业态。整合优势资源，加速</w:t>
      </w:r>
      <w:r>
        <w:rPr>
          <w:rFonts w:hint="eastAsia" w:ascii="仿宋_GB2312" w:hAnsi="Times New Roman" w:eastAsia="仿宋_GB2312"/>
          <w:color w:val="auto"/>
          <w:sz w:val="32"/>
          <w:szCs w:val="32"/>
          <w:highlight w:val="none"/>
          <w:lang w:eastAsia="zh-CN"/>
        </w:rPr>
        <w:t>培育</w:t>
      </w:r>
      <w:r>
        <w:rPr>
          <w:rFonts w:hint="eastAsia" w:ascii="仿宋_GB2312" w:hAnsi="Times New Roman" w:eastAsia="仿宋_GB2312"/>
          <w:color w:val="auto"/>
          <w:sz w:val="32"/>
          <w:szCs w:val="32"/>
          <w:highlight w:val="none"/>
        </w:rPr>
        <w:t>和引进一批具有核心竞争力和行业带动作用的龙头文化企业，支持中小微文化企业向专业化、特色化、创新型方向发展。</w:t>
      </w:r>
    </w:p>
    <w:p w14:paraId="4C06CA1C">
      <w:pPr>
        <w:adjustRightInd w:val="0"/>
        <w:snapToGrid w:val="0"/>
        <w:spacing w:line="600" w:lineRule="exact"/>
        <w:ind w:firstLine="643" w:firstLineChars="200"/>
        <w:rPr>
          <w:rFonts w:hint="eastAsia" w:ascii="仿宋_GB2312" w:hAnsi="Times New Roman" w:eastAsia="仿宋_GB2312"/>
          <w:color w:val="auto"/>
          <w:sz w:val="32"/>
          <w:szCs w:val="32"/>
          <w:highlight w:val="none"/>
        </w:rPr>
      </w:pPr>
      <w:r>
        <w:rPr>
          <w:rFonts w:hint="eastAsia" w:ascii="仿宋_GB2312" w:hAnsi="Times New Roman" w:eastAsia="仿宋_GB2312"/>
          <w:b/>
          <w:color w:val="auto"/>
          <w:sz w:val="32"/>
          <w:szCs w:val="32"/>
          <w:highlight w:val="none"/>
        </w:rPr>
        <w:t>做大做强“手造经济”</w:t>
      </w:r>
      <w:r>
        <w:rPr>
          <w:rFonts w:hint="eastAsia" w:ascii="仿宋_GB2312" w:hAnsi="Times New Roman" w:eastAsia="仿宋_GB2312"/>
          <w:color w:val="auto"/>
          <w:sz w:val="32"/>
          <w:szCs w:val="32"/>
          <w:highlight w:val="none"/>
        </w:rPr>
        <w:t>。探索“山东手造”活态传承模式，推动手工艺资源与景区、园区、云端等紧密融合，加强</w:t>
      </w:r>
      <w:r>
        <w:rPr>
          <w:rFonts w:ascii="仿宋_GB2312" w:hAnsi="Times New Roman" w:eastAsia="仿宋_GB2312"/>
          <w:color w:val="auto"/>
          <w:sz w:val="32"/>
          <w:szCs w:val="32"/>
          <w:highlight w:val="none"/>
        </w:rPr>
        <w:t>特色文创产品开发，</w:t>
      </w:r>
      <w:r>
        <w:rPr>
          <w:rFonts w:hint="eastAsia" w:ascii="仿宋_GB2312" w:hAnsi="Times New Roman" w:eastAsia="仿宋_GB2312"/>
          <w:color w:val="auto"/>
          <w:sz w:val="32"/>
          <w:szCs w:val="32"/>
          <w:highlight w:val="none"/>
        </w:rPr>
        <w:t>努力把“小手艺”做成“大产业”，</w:t>
      </w:r>
      <w:r>
        <w:rPr>
          <w:rFonts w:ascii="仿宋_GB2312" w:hAnsi="Times New Roman" w:eastAsia="仿宋_GB2312"/>
          <w:color w:val="auto"/>
          <w:sz w:val="32"/>
          <w:szCs w:val="32"/>
          <w:highlight w:val="none"/>
        </w:rPr>
        <w:t>培育提升</w:t>
      </w:r>
      <w:r>
        <w:rPr>
          <w:rFonts w:hint="eastAsia" w:ascii="仿宋_GB2312" w:hAnsi="Times New Roman" w:eastAsia="仿宋_GB2312"/>
          <w:color w:val="auto"/>
          <w:sz w:val="32"/>
          <w:szCs w:val="32"/>
          <w:highlight w:val="none"/>
        </w:rPr>
        <w:t>“梦的礼物”文创品牌。推动手造“进景区”，打造“手造文化”特色街区，积极引入手造特色门店，推动蚕丝被制作技艺、运河木偶竹猴、鲁南玻璃制作技艺、泥沟青花布印染等多种手造工艺品纳入景区常态化展示销售，推出巧手剪纸、陶艺制作等特色“研学游”体验课程。推动手造“进园区”，</w:t>
      </w:r>
      <w:r>
        <w:rPr>
          <w:rFonts w:hint="eastAsia" w:ascii="仿宋_GB2312" w:hAnsi="Times New Roman" w:eastAsia="仿宋_GB2312"/>
          <w:color w:val="auto"/>
          <w:sz w:val="32"/>
          <w:szCs w:val="32"/>
          <w:highlight w:val="none"/>
          <w:lang w:val="en-US" w:eastAsia="zh-CN"/>
        </w:rPr>
        <w:t>全面提升非遗工坊的产业化发</w:t>
      </w:r>
      <w:r>
        <w:rPr>
          <w:rFonts w:hint="eastAsia" w:ascii="仿宋_GB2312" w:hAnsi="Times New Roman" w:eastAsia="仿宋_GB2312" w:cs="Times New Roman"/>
          <w:color w:val="auto"/>
          <w:sz w:val="32"/>
          <w:szCs w:val="32"/>
          <w:highlight w:val="none"/>
          <w:lang w:val="en-US" w:eastAsia="zh-CN"/>
        </w:rPr>
        <w:t>展水平，促进</w:t>
      </w:r>
      <w:r>
        <w:rPr>
          <w:rFonts w:hint="eastAsia" w:ascii="仿宋_GB2312" w:hAnsi="Times New Roman" w:eastAsia="仿宋_GB2312"/>
          <w:color w:val="auto"/>
          <w:sz w:val="32"/>
          <w:szCs w:val="32"/>
          <w:highlight w:val="none"/>
        </w:rPr>
        <w:t>传统手造工坊向现代企业转型升级，扶持台儿庄手工蚕丝、泥沟青花布印染、穆柯寨酒等特色品牌率先转型，壮大手造产业链条。</w:t>
      </w:r>
    </w:p>
    <w:p w14:paraId="5CC7CB6A">
      <w:pPr>
        <w:adjustRightInd w:val="0"/>
        <w:snapToGrid w:val="0"/>
        <w:spacing w:line="600" w:lineRule="exact"/>
        <w:ind w:firstLine="643" w:firstLineChars="200"/>
        <w:rPr>
          <w:rFonts w:hint="eastAsia" w:ascii="仿宋_GB2312" w:hAnsi="Times New Roman" w:eastAsia="仿宋_GB2312"/>
          <w:color w:val="auto"/>
          <w:sz w:val="32"/>
          <w:szCs w:val="32"/>
          <w:highlight w:val="none"/>
        </w:rPr>
      </w:pPr>
      <w:r>
        <w:rPr>
          <w:rFonts w:hint="eastAsia" w:ascii="仿宋_GB2312" w:hAnsi="Times New Roman" w:eastAsia="仿宋_GB2312"/>
          <w:b/>
          <w:color w:val="auto"/>
          <w:sz w:val="32"/>
          <w:szCs w:val="32"/>
          <w:highlight w:val="none"/>
        </w:rPr>
        <w:t>大力发展数字文创产业</w:t>
      </w:r>
      <w:r>
        <w:rPr>
          <w:rFonts w:hint="eastAsia" w:ascii="仿宋_GB2312" w:hAnsi="Times New Roman" w:eastAsia="仿宋_GB2312"/>
          <w:color w:val="auto"/>
          <w:sz w:val="32"/>
          <w:szCs w:val="32"/>
          <w:highlight w:val="none"/>
        </w:rPr>
        <w:t>。推进文化资源数字化，发展文化创意、数字文化、网络视听等新兴产业，支持文创企业开发蕴含运河文化、大战文化的动漫影视产品。实施鲁南皮影、柳琴戏等数字再现工程，利用5G、人工智能、虚拟现实等技术，开发元宇宙沉浸式体验、运河主题动漫影视等数字文创产品。推出球幕影院、数字画卷、数字沙盘、NPC</w:t>
      </w:r>
      <w:r>
        <w:rPr>
          <w:rFonts w:hint="eastAsia" w:ascii="仿宋_GB2312" w:hAnsi="仿宋_GB2312" w:eastAsia="仿宋_GB2312" w:cs="仿宋_GB2312"/>
          <w:color w:val="auto"/>
          <w:sz w:val="32"/>
          <w:szCs w:val="32"/>
          <w:highlight w:val="none"/>
        </w:rPr>
        <w:t>互动体验等形式</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展现以复活古运河、弘扬台儿庄文化为主题的深度数字互动体验，展示运河文化传承保护利用新形象。</w:t>
      </w:r>
      <w:r>
        <w:rPr>
          <w:rFonts w:hint="eastAsia" w:ascii="仿宋_GB2312" w:hAnsi="Times New Roman" w:eastAsia="仿宋_GB2312"/>
          <w:color w:val="auto"/>
          <w:sz w:val="32"/>
          <w:szCs w:val="32"/>
          <w:highlight w:val="none"/>
        </w:rPr>
        <w:t>积极开展数字藏品开发运营，链接知名IP、文旅</w:t>
      </w:r>
      <w:r>
        <w:rPr>
          <w:rFonts w:hint="eastAsia" w:ascii="仿宋_GB2312" w:hAnsi="仿宋_GB2312" w:eastAsia="仿宋_GB2312" w:cs="仿宋_GB2312"/>
          <w:color w:val="auto"/>
          <w:sz w:val="32"/>
          <w:szCs w:val="32"/>
          <w:highlight w:val="none"/>
        </w:rPr>
        <w:t>企业以及收藏者，拓展数字藏品服务空</w:t>
      </w:r>
      <w:r>
        <w:rPr>
          <w:rFonts w:hint="eastAsia" w:ascii="仿宋_GB2312" w:hAnsi="Times New Roman" w:eastAsia="仿宋_GB2312"/>
          <w:color w:val="auto"/>
          <w:sz w:val="32"/>
          <w:szCs w:val="32"/>
          <w:highlight w:val="none"/>
        </w:rPr>
        <w:t>间。</w:t>
      </w:r>
      <w:r>
        <w:rPr>
          <w:rFonts w:hint="eastAsia" w:ascii="仿宋_GB2312" w:hAnsi="仿宋_GB2312" w:eastAsia="仿宋_GB2312" w:cs="仿宋_GB2312"/>
          <w:color w:val="auto"/>
          <w:sz w:val="32"/>
          <w:szCs w:val="32"/>
          <w:highlight w:val="none"/>
        </w:rPr>
        <w:t>依托台儿庄古城国家级版权贸易基地，规范文化产权交易平台，推动数字出版产业发展。</w:t>
      </w:r>
    </w:p>
    <w:p w14:paraId="38606F20">
      <w:pPr>
        <w:pStyle w:val="6"/>
        <w:bidi w:val="0"/>
        <w:rPr>
          <w:rFonts w:hint="eastAsia"/>
          <w:color w:val="auto"/>
          <w:highlight w:val="none"/>
        </w:rPr>
      </w:pPr>
      <w:bookmarkStart w:id="46" w:name="_Toc207569914"/>
      <w:bookmarkStart w:id="47" w:name="_Toc25805"/>
      <w:r>
        <w:rPr>
          <w:rFonts w:hint="eastAsia"/>
          <w:color w:val="auto"/>
          <w:highlight w:val="none"/>
        </w:rPr>
        <w:t>第</w:t>
      </w:r>
      <w:r>
        <w:rPr>
          <w:rFonts w:hint="eastAsia"/>
          <w:color w:val="auto"/>
          <w:highlight w:val="none"/>
          <w:lang w:val="en-US" w:eastAsia="zh-CN"/>
        </w:rPr>
        <w:t>五</w:t>
      </w:r>
      <w:r>
        <w:rPr>
          <w:rFonts w:hint="eastAsia"/>
          <w:color w:val="auto"/>
          <w:highlight w:val="none"/>
        </w:rPr>
        <w:t>节 推进文旅深度融合</w:t>
      </w:r>
      <w:bookmarkEnd w:id="46"/>
      <w:r>
        <w:rPr>
          <w:rFonts w:hint="eastAsia"/>
          <w:color w:val="auto"/>
          <w:highlight w:val="none"/>
        </w:rPr>
        <w:t>发展</w:t>
      </w:r>
      <w:bookmarkEnd w:id="47"/>
    </w:p>
    <w:p w14:paraId="3AF9A827">
      <w:pPr>
        <w:shd w:val="clear" w:color="auto" w:fill="auto"/>
        <w:adjustRightInd w:val="0"/>
        <w:snapToGrid w:val="0"/>
        <w:spacing w:line="60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优化提升景区业态品质</w:t>
      </w:r>
      <w:r>
        <w:rPr>
          <w:rFonts w:hint="eastAsia" w:ascii="仿宋_GB2312" w:hAnsi="仿宋_GB2312" w:eastAsia="仿宋_GB2312" w:cs="仿宋_GB2312"/>
          <w:color w:val="auto"/>
          <w:sz w:val="32"/>
          <w:szCs w:val="32"/>
          <w:highlight w:val="none"/>
        </w:rPr>
        <w:t>。支</w:t>
      </w:r>
      <w:r>
        <w:rPr>
          <w:rFonts w:hint="eastAsia" w:ascii="仿宋_GB2312" w:hAnsi="Times New Roman" w:eastAsia="仿宋_GB2312"/>
          <w:color w:val="auto"/>
          <w:sz w:val="32"/>
          <w:szCs w:val="32"/>
          <w:highlight w:val="none"/>
        </w:rPr>
        <w:t>持古城景区业态持续焕新，丰富沉浸式文旅、数字场景体验等文娱旅游产品供给，常态化开展文化艺术节、台风音乐节、文旅展会等文化演艺活动，构建文旅消费新场景，推动由“门票经济”向“链式经济”转变</w:t>
      </w:r>
      <w:r>
        <w:rPr>
          <w:rFonts w:hint="eastAsia" w:ascii="仿宋_GB2312" w:hAnsi="Times New Roman" w:eastAsia="仿宋_GB2312" w:cs="Times New Roman"/>
          <w:color w:val="auto"/>
          <w:sz w:val="32"/>
          <w:szCs w:val="32"/>
          <w:highlight w:val="none"/>
        </w:rPr>
        <w:t>。推动运河湿地公园建成省级生态旅游区、恢复国家4A级旅游景区</w:t>
      </w:r>
      <w:r>
        <w:rPr>
          <w:rFonts w:hint="eastAsia" w:ascii="仿宋_GB2312" w:hAnsi="Times New Roman" w:eastAsia="仿宋_GB2312" w:cs="Times New Roman"/>
          <w:color w:val="auto"/>
          <w:sz w:val="32"/>
          <w:szCs w:val="32"/>
          <w:highlight w:val="none"/>
          <w:lang w:eastAsia="zh-CN"/>
        </w:rPr>
        <w:t>，</w:t>
      </w:r>
      <w:r>
        <w:rPr>
          <w:rFonts w:hint="eastAsia" w:ascii="仿宋_GB2312" w:hAnsi="Times New Roman" w:eastAsia="仿宋_GB2312" w:cs="Times New Roman"/>
          <w:color w:val="auto"/>
          <w:sz w:val="32"/>
          <w:szCs w:val="32"/>
          <w:highlight w:val="none"/>
        </w:rPr>
        <w:t>培育“乡村好时节”活动品牌、培育精品文旅名镇。依托</w:t>
      </w:r>
      <w:r>
        <w:rPr>
          <w:rFonts w:hint="eastAsia" w:ascii="仿宋_GB2312" w:hAnsi="Times New Roman" w:eastAsia="仿宋_GB2312" w:cs="Times New Roman"/>
          <w:color w:val="auto"/>
          <w:sz w:val="32"/>
          <w:szCs w:val="32"/>
          <w:highlight w:val="none"/>
          <w:lang w:val="en-US" w:eastAsia="zh-CN"/>
        </w:rPr>
        <w:t>沧浪</w:t>
      </w:r>
      <w:r>
        <w:rPr>
          <w:rFonts w:hint="eastAsia" w:ascii="仿宋_GB2312" w:hAnsi="Times New Roman" w:eastAsia="仿宋_GB2312"/>
          <w:color w:val="auto"/>
          <w:sz w:val="32"/>
          <w:szCs w:val="32"/>
          <w:highlight w:val="none"/>
        </w:rPr>
        <w:t>河亲水休闲旅游目的地农文旅融合项目资源，完善旅游服务设施，培育A级旅游景区。到2030年，新创建3A级以上景区2个，台儿庄古城年接待游客突破1000万人次，全区年接待游客突破1400万人次，文旅产业增加值达到20亿元，</w:t>
      </w:r>
      <w:r>
        <w:rPr>
          <w:rFonts w:hint="eastAsia" w:ascii="仿宋_GB2312" w:eastAsia="仿宋_GB2312"/>
          <w:color w:val="auto"/>
          <w:sz w:val="32"/>
          <w:szCs w:val="32"/>
          <w:highlight w:val="none"/>
        </w:rPr>
        <w:t>争创山东省文化产业和旅游产业融合发展示范区。</w:t>
      </w:r>
    </w:p>
    <w:p w14:paraId="44E0DD16">
      <w:pPr>
        <w:adjustRightInd w:val="0"/>
        <w:snapToGrid w:val="0"/>
        <w:spacing w:line="60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拓展全域旅游发展空间</w:t>
      </w:r>
      <w:r>
        <w:rPr>
          <w:rFonts w:hint="eastAsia" w:ascii="仿宋_GB2312" w:hAnsi="仿宋_GB2312" w:eastAsia="仿宋_GB2312" w:cs="仿宋_GB2312"/>
          <w:color w:val="auto"/>
          <w:sz w:val="32"/>
          <w:szCs w:val="32"/>
          <w:highlight w:val="none"/>
        </w:rPr>
        <w:t>。整合“古城+运河+乡村+红色”资源，构建“一城两河一带多点”空间格局（“一城”即台儿庄古城，“两河”即兰祺河、</w:t>
      </w:r>
      <w:r>
        <w:rPr>
          <w:rFonts w:hint="eastAsia" w:ascii="仿宋_GB2312" w:hAnsi="仿宋_GB2312" w:eastAsia="仿宋_GB2312" w:cs="仿宋_GB2312"/>
          <w:color w:val="auto"/>
          <w:sz w:val="32"/>
          <w:szCs w:val="32"/>
          <w:highlight w:val="none"/>
          <w:lang w:eastAsia="zh-CN"/>
        </w:rPr>
        <w:t>沧浪河</w:t>
      </w:r>
      <w:r>
        <w:rPr>
          <w:rFonts w:hint="eastAsia" w:ascii="仿宋_GB2312" w:hAnsi="仿宋_GB2312" w:eastAsia="仿宋_GB2312" w:cs="仿宋_GB2312"/>
          <w:color w:val="auto"/>
          <w:sz w:val="32"/>
          <w:szCs w:val="32"/>
          <w:highlight w:val="none"/>
        </w:rPr>
        <w:t>，“一带”即运河风光带，“多点”即乡村旅游示范片区与特色项目），打造运河文化游、乡村休闲游、红色记忆游三大线路，推动全域旅游“景城一体、主客共享”。探索“文化+农业”“文化+旅游”“文化+非遗”等融合发展模式，建设一批富有地域文化特色的乡村旅游重点村镇，打造一批非遗游、民俗游、运河游等特色研学路线，建设非遗旅游体验基地，推动文化研学旅游高质量发展。整合全区节事、展览、民俗活动等资源，培育“一镇一节”品牌，重点打造桃花节、牡丹节、美食节、赛桃会等乡村旅游精品节事活动，促进旅游全年候、均衡式发展。</w:t>
      </w:r>
    </w:p>
    <w:p w14:paraId="3330AD3F">
      <w:pPr>
        <w:adjustRightInd w:val="0"/>
        <w:snapToGrid w:val="0"/>
        <w:spacing w:line="600" w:lineRule="exact"/>
        <w:ind w:firstLine="643"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实施旅游质量提升行动</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kern w:val="2"/>
          <w:sz w:val="32"/>
          <w:szCs w:val="32"/>
          <w:highlight w:val="none"/>
          <w:rtl w:val="0"/>
          <w:lang w:val="en-US" w:eastAsia="zh-CN" w:bidi="ar-SA"/>
        </w:rPr>
        <w:t>立足打造“鲁南苏北区域性旅游集散核心枢纽”，优化济枣高铁台儿庄站综合客运枢纽游客集散功能，强化水路一体化换乘与接驳服务，嵌入“台儿庄文旅会客厅”，设立微型博物馆、非遗互动体验等功能区，让游客“出高铁即入景区”。</w:t>
      </w:r>
      <w:r>
        <w:rPr>
          <w:rFonts w:hint="eastAsia" w:ascii="仿宋_GB2312" w:hAnsi="仿宋_GB2312" w:eastAsia="仿宋_GB2312" w:cs="仿宋_GB2312"/>
          <w:color w:val="auto"/>
          <w:sz w:val="32"/>
          <w:szCs w:val="32"/>
          <w:highlight w:val="none"/>
        </w:rPr>
        <w:t>完善“快进慢游”交通网络，构建“公铁水”特色交通体系，推进大运河国家步道暨鲁风运河文化廊道建设，拓展交通枢纽旅游服务功能，发展定制化旅游运输服务，推进“旅游型”</w:t>
      </w:r>
      <w:r>
        <w:rPr>
          <w:rFonts w:hint="eastAsia" w:ascii="仿宋_GB2312" w:hAnsi="Times New Roman" w:eastAsia="仿宋_GB2312"/>
          <w:color w:val="auto"/>
          <w:sz w:val="32"/>
          <w:szCs w:val="32"/>
          <w:highlight w:val="none"/>
        </w:rPr>
        <w:t>高速公路服务区和自驾车旅居车营地建设</w:t>
      </w:r>
      <w:r>
        <w:rPr>
          <w:rFonts w:hint="eastAsia" w:ascii="仿宋_GB2312" w:hAnsi="仿宋_GB2312" w:eastAsia="仿宋_GB2312" w:cs="仿宋_GB2312"/>
          <w:color w:val="auto"/>
          <w:sz w:val="32"/>
          <w:szCs w:val="32"/>
          <w:highlight w:val="none"/>
        </w:rPr>
        <w:t>。强化旅游区服务中心、内部交通、停车场、标识标牌等设施建设，持续推动旅游厕所管理服务提升、设施适老化改造提升，推进景区数字化改造，建设一批文旅综合服务设施。加强旅游行业服务质量监管，开展星级饭店复核、旅行社评定工作，发展高星级酒店民宿，</w:t>
      </w:r>
      <w:r>
        <w:rPr>
          <w:rFonts w:hint="eastAsia" w:ascii="仿宋_GB2312" w:hAnsi="仿宋_GB2312" w:eastAsia="仿宋_GB2312" w:cs="仿宋_GB2312"/>
          <w:color w:val="auto"/>
          <w:sz w:val="32"/>
          <w:szCs w:val="32"/>
          <w:highlight w:val="none"/>
          <w:lang w:val="en-US" w:eastAsia="zh-CN"/>
        </w:rPr>
        <w:t>聚焦“民宿+”融合业态，引导民宿连片发展、差异定位，植入文化展陈、非遗体验、主题餐饮等内容，培育“古运人家”省级旅游民宿集聚区。依托智慧古城大数据平台，深化智能场景应用，全面升级智能服务体系，构建数据驱动、体验沉浸、运行高效的智慧旅游生态，增强游客体验感。</w:t>
      </w:r>
      <w:r>
        <w:rPr>
          <w:rFonts w:hint="eastAsia" w:ascii="仿宋_GB2312" w:hAnsi="仿宋_GB2312" w:eastAsia="仿宋_GB2312" w:cs="仿宋_GB2312"/>
          <w:color w:val="auto"/>
          <w:sz w:val="32"/>
          <w:szCs w:val="32"/>
          <w:highlight w:val="none"/>
        </w:rPr>
        <w:t>创新旅游市场监管模式，培育高水平导游队伍、优质旅游服务品牌，全方位提升旅游服务质量。实施“旅游业后备箱”工程，依托湿地莲藕、涛沟桥大米、咸鸭蛋、穆柯寨甜桃等农产品，鼓励开发一批具有台儿庄特色的旅游商品。</w:t>
      </w:r>
    </w:p>
    <w:p w14:paraId="45392E69">
      <w:pPr>
        <w:adjustRightInd w:val="0"/>
        <w:snapToGrid w:val="0"/>
        <w:spacing w:line="60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持续擦亮文化旅游品牌。</w:t>
      </w:r>
      <w:r>
        <w:rPr>
          <w:rFonts w:hint="eastAsia" w:ascii="仿宋_GB2312" w:hAnsi="仿宋_GB2312" w:eastAsia="仿宋_GB2312" w:cs="仿宋_GB2312"/>
          <w:color w:val="auto"/>
          <w:sz w:val="32"/>
          <w:szCs w:val="32"/>
          <w:highlight w:val="none"/>
        </w:rPr>
        <w:t>依托古城、湿地、大战旧址等资源，推出运河慢游、红色研学、生态体验等精品游线，</w:t>
      </w:r>
      <w:r>
        <w:rPr>
          <w:rFonts w:hint="eastAsia" w:ascii="仿宋_GB2312" w:hAnsi="Times New Roman" w:eastAsia="仿宋_GB2312"/>
          <w:color w:val="auto"/>
          <w:sz w:val="32"/>
          <w:szCs w:val="32"/>
          <w:highlight w:val="none"/>
        </w:rPr>
        <w:t>加强与国内主要客源地、区域协作地区市场营销和互动交流</w:t>
      </w:r>
      <w:r>
        <w:rPr>
          <w:rFonts w:hint="eastAsia" w:ascii="仿宋_GB2312" w:hAnsi="仿宋_GB2312" w:eastAsia="仿宋_GB2312" w:cs="仿宋_GB2312"/>
          <w:color w:val="auto"/>
          <w:sz w:val="32"/>
          <w:szCs w:val="32"/>
          <w:highlight w:val="none"/>
        </w:rPr>
        <w:t>，进一步夯实核心客源市场，集聚市场人气。</w:t>
      </w:r>
      <w:r>
        <w:rPr>
          <w:rFonts w:hint="eastAsia" w:ascii="仿宋_GB2312" w:hAnsi="Times New Roman" w:eastAsia="仿宋_GB2312"/>
          <w:color w:val="auto"/>
          <w:sz w:val="32"/>
          <w:szCs w:val="32"/>
          <w:highlight w:val="none"/>
        </w:rPr>
        <w:t>围绕暑期</w:t>
      </w:r>
      <w:r>
        <w:rPr>
          <w:rFonts w:hint="eastAsia" w:ascii="仿宋_GB2312" w:hAnsi="Times New Roman" w:eastAsia="仿宋_GB2312"/>
          <w:color w:val="auto"/>
          <w:sz w:val="32"/>
          <w:szCs w:val="32"/>
          <w:highlight w:val="none"/>
          <w:lang w:eastAsia="zh-CN"/>
        </w:rPr>
        <w:t>、</w:t>
      </w:r>
      <w:r>
        <w:rPr>
          <w:rFonts w:hint="eastAsia" w:ascii="仿宋_GB2312" w:hAnsi="Times New Roman" w:eastAsia="仿宋_GB2312"/>
          <w:color w:val="auto"/>
          <w:sz w:val="32"/>
          <w:szCs w:val="32"/>
          <w:highlight w:val="none"/>
        </w:rPr>
        <w:t>中秋</w:t>
      </w:r>
      <w:r>
        <w:rPr>
          <w:rFonts w:hint="eastAsia" w:ascii="仿宋_GB2312" w:hAnsi="Times New Roman" w:eastAsia="仿宋_GB2312"/>
          <w:color w:val="auto"/>
          <w:sz w:val="32"/>
          <w:szCs w:val="32"/>
          <w:highlight w:val="none"/>
          <w:lang w:eastAsia="zh-CN"/>
        </w:rPr>
        <w:t>、</w:t>
      </w:r>
      <w:r>
        <w:rPr>
          <w:rFonts w:hint="eastAsia" w:ascii="仿宋_GB2312" w:hAnsi="Times New Roman" w:eastAsia="仿宋_GB2312"/>
          <w:color w:val="auto"/>
          <w:sz w:val="32"/>
          <w:szCs w:val="32"/>
          <w:highlight w:val="none"/>
          <w:lang w:val="en-US" w:eastAsia="zh-CN"/>
        </w:rPr>
        <w:t>国庆、春节</w:t>
      </w:r>
      <w:r>
        <w:rPr>
          <w:rFonts w:hint="eastAsia" w:ascii="仿宋_GB2312" w:hAnsi="Times New Roman" w:eastAsia="仿宋_GB2312"/>
          <w:color w:val="auto"/>
          <w:sz w:val="32"/>
          <w:szCs w:val="32"/>
          <w:highlight w:val="none"/>
        </w:rPr>
        <w:t>等重要节点，策划主题鲜明大型IP活动，开展</w:t>
      </w:r>
      <w:r>
        <w:rPr>
          <w:rFonts w:hint="eastAsia" w:ascii="仿宋_GB2312" w:hAnsi="仿宋_GB2312" w:eastAsia="仿宋_GB2312" w:cs="仿宋_GB2312"/>
          <w:color w:val="auto"/>
          <w:sz w:val="32"/>
          <w:szCs w:val="32"/>
          <w:highlight w:val="none"/>
          <w:lang w:val="en-US" w:eastAsia="zh-CN"/>
        </w:rPr>
        <w:t>“进社区、进商超、进企业”专项营销行动，</w:t>
      </w:r>
      <w:r>
        <w:rPr>
          <w:rFonts w:hint="eastAsia" w:ascii="仿宋_GB2312" w:hAnsi="Times New Roman" w:eastAsia="仿宋_GB2312"/>
          <w:color w:val="auto"/>
          <w:sz w:val="32"/>
          <w:szCs w:val="32"/>
          <w:highlight w:val="none"/>
        </w:rPr>
        <w:t>以</w:t>
      </w:r>
      <w:r>
        <w:rPr>
          <w:rFonts w:hint="eastAsia" w:ascii="仿宋_GB2312" w:hAnsi="Times New Roman" w:eastAsia="仿宋_GB2312"/>
          <w:color w:val="auto"/>
          <w:sz w:val="32"/>
          <w:szCs w:val="32"/>
          <w:highlight w:val="none"/>
          <w:lang w:eastAsia="zh-CN"/>
        </w:rPr>
        <w:t>“</w:t>
      </w:r>
      <w:r>
        <w:rPr>
          <w:rFonts w:hint="eastAsia" w:ascii="仿宋_GB2312" w:hAnsi="Times New Roman" w:eastAsia="仿宋_GB2312"/>
          <w:color w:val="auto"/>
          <w:sz w:val="32"/>
          <w:szCs w:val="32"/>
          <w:highlight w:val="none"/>
        </w:rPr>
        <w:t>沉浸式体验+场景化营销</w:t>
      </w:r>
      <w:r>
        <w:rPr>
          <w:rFonts w:hint="eastAsia" w:ascii="仿宋_GB2312" w:hAnsi="Times New Roman" w:eastAsia="仿宋_GB2312"/>
          <w:color w:val="auto"/>
          <w:sz w:val="32"/>
          <w:szCs w:val="32"/>
          <w:highlight w:val="none"/>
          <w:lang w:eastAsia="zh-CN"/>
        </w:rPr>
        <w:t>”</w:t>
      </w:r>
      <w:r>
        <w:rPr>
          <w:rFonts w:hint="eastAsia" w:ascii="仿宋_GB2312" w:hAnsi="Times New Roman" w:eastAsia="仿宋_GB2312"/>
          <w:color w:val="auto"/>
          <w:sz w:val="32"/>
          <w:szCs w:val="32"/>
          <w:highlight w:val="none"/>
        </w:rPr>
        <w:t>深度激活年轻客群与家庭出游消费潜力。用好“文旅台儿庄”公众号平台，丰富宣传推介手段，利用抖音、微信等新媒体平台，深化“联合推介、捆绑营销”，联动自媒体达人、城市文旅推荐官及摄影KOL发起“潮玩台儿庄”采风计划，持续壮大古城影响力和提升台儿庄文旅品牌知名度、美誉度。积极参加国内外旅游展会，举办台儿庄文旅专场活动，强化“上台坐庄行大运，寻梦祈福来古城”品牌形象。</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3C670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296" w:type="dxa"/>
            <w:noWrap w:val="0"/>
            <w:vAlign w:val="center"/>
          </w:tcPr>
          <w:p w14:paraId="0AEB27A8">
            <w:pPr>
              <w:jc w:val="center"/>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专栏</w:t>
            </w:r>
            <w:r>
              <w:rPr>
                <w:rFonts w:hint="eastAsia" w:ascii="黑体" w:hAnsi="黑体" w:eastAsia="黑体" w:cs="宋体"/>
                <w:bCs/>
                <w:color w:val="auto"/>
                <w:sz w:val="28"/>
                <w:szCs w:val="28"/>
                <w:highlight w:val="none"/>
                <w:lang w:val="en-US" w:eastAsia="zh-CN"/>
              </w:rPr>
              <w:t>8</w:t>
            </w:r>
            <w:r>
              <w:rPr>
                <w:rFonts w:hint="eastAsia" w:ascii="黑体" w:hAnsi="黑体" w:eastAsia="黑体" w:cs="宋体"/>
                <w:bCs/>
                <w:color w:val="auto"/>
                <w:sz w:val="28"/>
                <w:szCs w:val="28"/>
                <w:highlight w:val="none"/>
              </w:rPr>
              <w:t>：文化“两创”重点项目</w:t>
            </w:r>
          </w:p>
        </w:tc>
      </w:tr>
      <w:tr w14:paraId="4609F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noWrap w:val="0"/>
            <w:vAlign w:val="top"/>
          </w:tcPr>
          <w:p w14:paraId="7359592C">
            <w:pPr>
              <w:keepNext w:val="0"/>
              <w:keepLines w:val="0"/>
              <w:pageBreakBefore w:val="0"/>
              <w:widowControl w:val="0"/>
              <w:kinsoku/>
              <w:wordWrap/>
              <w:overflowPunct/>
              <w:topLinePunct w:val="0"/>
              <w:autoSpaceDE/>
              <w:autoSpaceDN/>
              <w:bidi w:val="0"/>
              <w:adjustRightInd/>
              <w:snapToGrid/>
              <w:spacing w:line="600" w:lineRule="exact"/>
              <w:ind w:firstLine="562" w:firstLineChars="200"/>
              <w:textAlignment w:val="auto"/>
              <w:rPr>
                <w:rFonts w:ascii="仿宋_GB2312" w:hAnsi="宋体" w:eastAsia="仿宋_GB2312" w:cs="宋体"/>
                <w:bCs/>
                <w:color w:val="auto"/>
                <w:sz w:val="28"/>
                <w:szCs w:val="28"/>
                <w:highlight w:val="none"/>
              </w:rPr>
            </w:pPr>
            <w:r>
              <w:rPr>
                <w:rFonts w:hint="eastAsia" w:ascii="仿宋_GB2312" w:hAnsi="宋体" w:eastAsia="仿宋_GB2312" w:cs="宋体"/>
                <w:b/>
                <w:bCs w:val="0"/>
                <w:color w:val="auto"/>
                <w:sz w:val="28"/>
                <w:szCs w:val="28"/>
                <w:highlight w:val="none"/>
              </w:rPr>
              <w:t>文物保护：</w:t>
            </w:r>
            <w:r>
              <w:rPr>
                <w:rFonts w:hint="eastAsia" w:ascii="仿宋_GB2312" w:hAnsi="仿宋_GB2312" w:eastAsia="仿宋_GB2312" w:cs="仿宋_GB2312"/>
                <w:color w:val="auto"/>
                <w:kern w:val="2"/>
                <w:sz w:val="28"/>
                <w:szCs w:val="28"/>
                <w:highlight w:val="none"/>
                <w:lang w:val="en-US" w:eastAsia="zh-CN" w:bidi="ar-SA"/>
              </w:rPr>
              <w:t>（1）台儿庄大战旧址火车站保护展示（2）</w:t>
            </w:r>
            <w:r>
              <w:rPr>
                <w:rFonts w:hint="eastAsia" w:ascii="仿宋_GB2312" w:hAnsi="仿宋_GB2312" w:eastAsia="仿宋_GB2312" w:cs="仿宋_GB2312"/>
                <w:color w:val="auto"/>
                <w:kern w:val="2"/>
                <w:sz w:val="28"/>
                <w:szCs w:val="28"/>
                <w:highlight w:val="none"/>
                <w:rtl w:val="0"/>
                <w:lang w:val="en-US" w:eastAsia="zh-CN" w:bidi="ar-SA"/>
              </w:rPr>
              <w:t>台儿庄大战旧址整体陈列展示项目（3）晒米城遗址考古调查勘探项目（4）</w:t>
            </w:r>
            <w:r>
              <w:rPr>
                <w:rFonts w:hint="eastAsia" w:ascii="仿宋_GB2312" w:hAnsi="仿宋_GB2312" w:eastAsia="仿宋_GB2312" w:cs="仿宋_GB2312"/>
                <w:color w:val="auto"/>
                <w:kern w:val="2"/>
                <w:sz w:val="28"/>
                <w:szCs w:val="28"/>
                <w:highlight w:val="none"/>
                <w:lang w:val="en-US" w:eastAsia="zh-CN" w:bidi="ar-SA"/>
              </w:rPr>
              <w:t>台儿庄大战旧址古民居消防项目（5）台儿庄大战纪念馆全景画馆改造提升项目。</w:t>
            </w:r>
          </w:p>
          <w:p w14:paraId="30CDFDF9">
            <w:pPr>
              <w:keepNext w:val="0"/>
              <w:keepLines w:val="0"/>
              <w:pageBreakBefore w:val="0"/>
              <w:widowControl w:val="0"/>
              <w:kinsoku/>
              <w:wordWrap/>
              <w:overflowPunct/>
              <w:topLinePunct w:val="0"/>
              <w:autoSpaceDE/>
              <w:autoSpaceDN/>
              <w:bidi w:val="0"/>
              <w:adjustRightInd/>
              <w:snapToGrid/>
              <w:spacing w:line="600" w:lineRule="exact"/>
              <w:ind w:firstLine="562" w:firstLineChars="200"/>
              <w:textAlignment w:val="auto"/>
              <w:rPr>
                <w:rFonts w:hint="eastAsia" w:ascii="仿宋_GB2312" w:hAnsi="宋体" w:eastAsia="仿宋_GB2312" w:cs="宋体"/>
                <w:bCs/>
                <w:color w:val="auto"/>
                <w:sz w:val="28"/>
                <w:szCs w:val="28"/>
                <w:highlight w:val="none"/>
              </w:rPr>
            </w:pPr>
            <w:r>
              <w:rPr>
                <w:rFonts w:hint="eastAsia" w:ascii="仿宋_GB2312" w:hAnsi="宋体" w:eastAsia="仿宋_GB2312" w:cs="宋体"/>
                <w:b/>
                <w:bCs w:val="0"/>
                <w:color w:val="auto"/>
                <w:sz w:val="28"/>
                <w:szCs w:val="28"/>
                <w:highlight w:val="none"/>
              </w:rPr>
              <w:t>文化旅游：</w:t>
            </w:r>
            <w:r>
              <w:rPr>
                <w:rFonts w:hint="eastAsia" w:ascii="仿宋_GB2312" w:hAnsi="仿宋_GB2312" w:eastAsia="仿宋_GB2312" w:cs="仿宋_GB2312"/>
                <w:color w:val="auto"/>
                <w:kern w:val="2"/>
                <w:sz w:val="28"/>
                <w:szCs w:val="28"/>
                <w:highlight w:val="none"/>
                <w:lang w:val="en-US" w:eastAsia="zh-CN" w:bidi="ar-SA"/>
              </w:rPr>
              <w:t>（1）沧浪河风景区创建A级旅游景区（2）良安祥和牧场创建A级旅游景区（3）台儿庄古城游客服务中心暨智慧停车场项目（4）大运河国家步道暨鲁风运河文化廊道项目（5）台儿庄古城黄家大院演艺项目（6）台儿庄庆余里项目（7）月河夜游演艺项目（8）“运河之上”主题乐园项目（9）运河古城景区智慧服务提升及改造。</w:t>
            </w:r>
          </w:p>
        </w:tc>
      </w:tr>
    </w:tbl>
    <w:p w14:paraId="1B0604EB">
      <w:pPr>
        <w:pStyle w:val="5"/>
        <w:adjustRightInd w:val="0"/>
        <w:snapToGrid w:val="0"/>
        <w:spacing w:before="240" w:after="240" w:line="600" w:lineRule="exact"/>
        <w:jc w:val="center"/>
        <w:rPr>
          <w:rFonts w:hint="eastAsia" w:ascii="黑体" w:hAnsi="黑体" w:eastAsia="黑体"/>
          <w:b w:val="0"/>
          <w:bCs w:val="0"/>
          <w:color w:val="auto"/>
          <w:sz w:val="32"/>
          <w:szCs w:val="32"/>
          <w:highlight w:val="none"/>
        </w:rPr>
        <w:sectPr>
          <w:footnotePr>
            <w:numFmt w:val="decimalEnclosedCircleChinese"/>
            <w:numRestart w:val="eachPage"/>
          </w:footnotePr>
          <w:pgSz w:w="11906" w:h="16838"/>
          <w:pgMar w:top="1984" w:right="1587" w:bottom="1701" w:left="1587" w:header="851" w:footer="1134" w:gutter="0"/>
          <w:pgNumType w:fmt="numberInDash"/>
          <w:cols w:space="720" w:num="1"/>
          <w:docGrid w:type="lines" w:linePitch="312" w:charSpace="0"/>
        </w:sectPr>
      </w:pPr>
    </w:p>
    <w:p w14:paraId="4D8D5D07">
      <w:pPr>
        <w:pStyle w:val="5"/>
        <w:adjustRightInd w:val="0"/>
        <w:snapToGrid w:val="0"/>
        <w:spacing w:before="240" w:after="240" w:line="600" w:lineRule="exact"/>
        <w:jc w:val="center"/>
        <w:rPr>
          <w:rFonts w:hint="eastAsia" w:ascii="黑体" w:hAnsi="黑体" w:eastAsia="黑体"/>
          <w:b w:val="0"/>
          <w:bCs w:val="0"/>
          <w:color w:val="auto"/>
          <w:sz w:val="32"/>
          <w:szCs w:val="32"/>
          <w:highlight w:val="none"/>
        </w:rPr>
      </w:pPr>
      <w:bookmarkStart w:id="48" w:name="_Toc173"/>
      <w:r>
        <w:rPr>
          <w:rFonts w:hint="eastAsia" w:ascii="黑体" w:hAnsi="黑体" w:eastAsia="黑体"/>
          <w:b w:val="0"/>
          <w:bCs w:val="0"/>
          <w:color w:val="auto"/>
          <w:sz w:val="32"/>
          <w:szCs w:val="32"/>
          <w:highlight w:val="none"/>
        </w:rPr>
        <w:t>第八章</w:t>
      </w:r>
      <w:r>
        <w:rPr>
          <w:rFonts w:ascii="黑体" w:hAnsi="黑体" w:eastAsia="黑体"/>
          <w:b w:val="0"/>
          <w:bCs w:val="0"/>
          <w:color w:val="auto"/>
          <w:sz w:val="32"/>
          <w:szCs w:val="32"/>
          <w:highlight w:val="none"/>
        </w:rPr>
        <w:t xml:space="preserve"> </w:t>
      </w:r>
      <w:r>
        <w:rPr>
          <w:rFonts w:hint="eastAsia" w:ascii="黑体" w:hAnsi="黑体" w:eastAsia="黑体"/>
          <w:b w:val="0"/>
          <w:bCs w:val="0"/>
          <w:color w:val="auto"/>
          <w:sz w:val="32"/>
          <w:szCs w:val="32"/>
          <w:highlight w:val="none"/>
        </w:rPr>
        <w:t>突出</w:t>
      </w:r>
      <w:r>
        <w:rPr>
          <w:rFonts w:ascii="黑体" w:hAnsi="黑体" w:eastAsia="黑体"/>
          <w:b w:val="0"/>
          <w:bCs w:val="0"/>
          <w:color w:val="auto"/>
          <w:sz w:val="32"/>
          <w:szCs w:val="32"/>
          <w:highlight w:val="none"/>
        </w:rPr>
        <w:t>改革开放</w:t>
      </w:r>
      <w:r>
        <w:rPr>
          <w:rFonts w:hint="eastAsia" w:ascii="黑体" w:hAnsi="黑体" w:eastAsia="黑体"/>
          <w:b w:val="0"/>
          <w:bCs w:val="0"/>
          <w:color w:val="auto"/>
          <w:sz w:val="32"/>
          <w:szCs w:val="32"/>
          <w:highlight w:val="none"/>
        </w:rPr>
        <w:t>协同</w:t>
      </w:r>
      <w:r>
        <w:rPr>
          <w:rFonts w:ascii="黑体" w:hAnsi="黑体" w:eastAsia="黑体"/>
          <w:b w:val="0"/>
          <w:bCs w:val="0"/>
          <w:color w:val="auto"/>
          <w:sz w:val="32"/>
          <w:szCs w:val="32"/>
          <w:highlight w:val="none"/>
        </w:rPr>
        <w:t>性</w:t>
      </w:r>
      <w:r>
        <w:rPr>
          <w:rFonts w:hint="eastAsia" w:ascii="黑体" w:hAnsi="黑体" w:eastAsia="黑体"/>
          <w:b w:val="0"/>
          <w:bCs w:val="0"/>
          <w:color w:val="auto"/>
          <w:sz w:val="32"/>
          <w:szCs w:val="32"/>
          <w:highlight w:val="none"/>
        </w:rPr>
        <w:t>，增强高质量发展内生动力</w:t>
      </w:r>
      <w:bookmarkEnd w:id="48"/>
    </w:p>
    <w:p w14:paraId="44E69048">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宋体" w:eastAsia="仿宋_GB2312"/>
          <w:color w:val="auto"/>
          <w:sz w:val="32"/>
          <w:szCs w:val="32"/>
          <w:highlight w:val="none"/>
        </w:rPr>
      </w:pPr>
      <w:r>
        <w:rPr>
          <w:rFonts w:ascii="仿宋_GB2312" w:hAnsi="宋体" w:eastAsia="仿宋_GB2312"/>
          <w:color w:val="auto"/>
          <w:sz w:val="32"/>
          <w:szCs w:val="32"/>
          <w:highlight w:val="none"/>
        </w:rPr>
        <w:t>坚持不懈深化改革开放，</w:t>
      </w:r>
      <w:r>
        <w:rPr>
          <w:rFonts w:hint="eastAsia" w:ascii="仿宋_GB2312" w:hAnsi="宋体" w:eastAsia="仿宋_GB2312"/>
          <w:color w:val="auto"/>
          <w:sz w:val="32"/>
          <w:szCs w:val="32"/>
          <w:highlight w:val="none"/>
        </w:rPr>
        <w:t>滚动做好重点领域改革和“小切口、大撬动”改革，更好发挥经济体制改革牵引作用，持续</w:t>
      </w:r>
      <w:r>
        <w:rPr>
          <w:rFonts w:ascii="仿宋_GB2312" w:hAnsi="宋体" w:eastAsia="仿宋_GB2312"/>
          <w:color w:val="auto"/>
          <w:sz w:val="32"/>
          <w:szCs w:val="32"/>
          <w:highlight w:val="none"/>
        </w:rPr>
        <w:t>扩大高水平对外开放，</w:t>
      </w:r>
      <w:r>
        <w:rPr>
          <w:rFonts w:hint="eastAsia" w:ascii="仿宋_GB2312" w:hAnsi="宋体" w:eastAsia="仿宋_GB2312"/>
          <w:color w:val="auto"/>
          <w:sz w:val="32"/>
          <w:szCs w:val="32"/>
          <w:highlight w:val="none"/>
        </w:rPr>
        <w:t>着力破解制约发展的体制机制障碍，持续增强发展动力和活力。</w:t>
      </w:r>
    </w:p>
    <w:p w14:paraId="465AFBF7">
      <w:pPr>
        <w:pStyle w:val="6"/>
        <w:pageBreakBefore w:val="0"/>
        <w:kinsoku/>
        <w:wordWrap/>
        <w:overflowPunct/>
        <w:topLinePunct w:val="0"/>
        <w:autoSpaceDE/>
        <w:autoSpaceDN/>
        <w:bidi w:val="0"/>
        <w:spacing w:line="600" w:lineRule="exact"/>
        <w:textAlignment w:val="auto"/>
        <w:rPr>
          <w:rFonts w:hint="eastAsia"/>
          <w:color w:val="auto"/>
          <w:highlight w:val="none"/>
        </w:rPr>
      </w:pPr>
      <w:bookmarkStart w:id="49" w:name="_Toc28437"/>
      <w:r>
        <w:rPr>
          <w:rFonts w:hint="eastAsia"/>
          <w:color w:val="auto"/>
          <w:highlight w:val="none"/>
        </w:rPr>
        <w:t>第一节 充分激发各类经营主体活力</w:t>
      </w:r>
      <w:bookmarkEnd w:id="49"/>
    </w:p>
    <w:p w14:paraId="011B4912">
      <w:pPr>
        <w:pageBreakBefore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宋体" w:eastAsia="仿宋_GB2312"/>
          <w:color w:val="auto"/>
          <w:sz w:val="32"/>
          <w:szCs w:val="32"/>
          <w:highlight w:val="none"/>
          <w:lang w:val="en-US" w:eastAsia="zh-CN"/>
        </w:rPr>
      </w:pPr>
      <w:r>
        <w:rPr>
          <w:rFonts w:hint="eastAsia" w:ascii="仿宋_GB2312" w:hAnsi="宋体" w:eastAsia="仿宋_GB2312"/>
          <w:b/>
          <w:color w:val="auto"/>
          <w:sz w:val="32"/>
          <w:szCs w:val="32"/>
          <w:highlight w:val="none"/>
        </w:rPr>
        <w:t>扎实推进</w:t>
      </w:r>
      <w:r>
        <w:rPr>
          <w:rFonts w:ascii="仿宋_GB2312" w:hAnsi="宋体" w:eastAsia="仿宋_GB2312"/>
          <w:b/>
          <w:color w:val="auto"/>
          <w:sz w:val="32"/>
          <w:szCs w:val="32"/>
          <w:highlight w:val="none"/>
        </w:rPr>
        <w:t>国资国企改革。</w:t>
      </w:r>
      <w:r>
        <w:rPr>
          <w:rFonts w:hint="eastAsia" w:ascii="仿宋_GB2312" w:hAnsi="宋体" w:eastAsia="仿宋_GB2312"/>
          <w:color w:val="auto"/>
          <w:sz w:val="32"/>
          <w:szCs w:val="32"/>
          <w:highlight w:val="none"/>
        </w:rPr>
        <w:t>深入实施国企改革深化提升行动，加快国有经济布局优化和结构调整，实行人员集中招聘、设备物资集中采购、债务风险集中防控、投融资集中管理、资金使用集中调度，推动国资国企规范化运营。完善国有企业治理机制，健全市场化运行机制，提高</w:t>
      </w:r>
      <w:r>
        <w:rPr>
          <w:rFonts w:ascii="仿宋_GB2312" w:hAnsi="宋体" w:eastAsia="仿宋_GB2312"/>
          <w:color w:val="auto"/>
          <w:sz w:val="32"/>
          <w:szCs w:val="32"/>
          <w:highlight w:val="none"/>
        </w:rPr>
        <w:t>国有企业市场竞争力，</w:t>
      </w:r>
      <w:r>
        <w:rPr>
          <w:rFonts w:hint="eastAsia" w:ascii="仿宋_GB2312" w:hAnsi="宋体" w:eastAsia="仿宋_GB2312"/>
          <w:color w:val="auto"/>
          <w:sz w:val="32"/>
          <w:szCs w:val="32"/>
          <w:highlight w:val="none"/>
        </w:rPr>
        <w:t>充分发挥国企在推动经济社会发展中的作用。聚焦主责主业，推动</w:t>
      </w:r>
      <w:r>
        <w:rPr>
          <w:rFonts w:ascii="仿宋_GB2312" w:hAnsi="宋体" w:eastAsia="仿宋_GB2312"/>
          <w:color w:val="auto"/>
          <w:sz w:val="32"/>
          <w:szCs w:val="32"/>
          <w:highlight w:val="none"/>
        </w:rPr>
        <w:t>国有企业</w:t>
      </w:r>
      <w:r>
        <w:rPr>
          <w:rFonts w:hint="eastAsia" w:ascii="仿宋_GB2312" w:hAnsi="宋体" w:eastAsia="仿宋_GB2312"/>
          <w:color w:val="auto"/>
          <w:sz w:val="32"/>
          <w:szCs w:val="32"/>
          <w:highlight w:val="none"/>
        </w:rPr>
        <w:t>“瘦身健体”、实体化转型，进一步做强实业、做精专业，推动主要经营质效指标持续优化、国有资产实现保值增值。推动国有企业深度参与经济建设，瞄准“锂机材纺纸”五大主导产业及新兴</w:t>
      </w:r>
      <w:r>
        <w:rPr>
          <w:rFonts w:ascii="仿宋_GB2312" w:hAnsi="宋体" w:eastAsia="仿宋_GB2312"/>
          <w:color w:val="auto"/>
          <w:sz w:val="32"/>
          <w:szCs w:val="32"/>
          <w:highlight w:val="none"/>
        </w:rPr>
        <w:t>和未来产业，</w:t>
      </w:r>
      <w:r>
        <w:rPr>
          <w:rFonts w:hint="eastAsia" w:ascii="仿宋_GB2312" w:hAnsi="宋体" w:eastAsia="仿宋_GB2312"/>
          <w:color w:val="auto"/>
          <w:sz w:val="32"/>
          <w:szCs w:val="32"/>
          <w:highlight w:val="none"/>
        </w:rPr>
        <w:t>通过股份、基金投入参与招商引资，扛起基础设施投资、厂房建设等工作任务，为地区经济发展提供动力活力。推动国有企业通过国有资产集中监管、“三资三化”、并购重组及“走出去”战略等做大</w:t>
      </w:r>
      <w:r>
        <w:rPr>
          <w:rFonts w:hint="eastAsia" w:ascii="仿宋_GB2312" w:hAnsi="宋体" w:eastAsia="仿宋_GB2312"/>
          <w:color w:val="auto"/>
          <w:sz w:val="32"/>
          <w:szCs w:val="32"/>
          <w:highlight w:val="none"/>
          <w:lang w:val="en-US" w:eastAsia="zh-CN"/>
        </w:rPr>
        <w:t>做强</w:t>
      </w:r>
      <w:r>
        <w:rPr>
          <w:rFonts w:hint="eastAsia" w:ascii="仿宋_GB2312" w:hAnsi="宋体" w:eastAsia="仿宋_GB2312"/>
          <w:color w:val="auto"/>
          <w:sz w:val="32"/>
          <w:szCs w:val="32"/>
          <w:highlight w:val="none"/>
        </w:rPr>
        <w:t>，培育一批具有区域或行业竞争力的一流企业</w:t>
      </w:r>
      <w:r>
        <w:rPr>
          <w:rFonts w:hint="eastAsia" w:ascii="仿宋_GB2312" w:hAnsi="宋体" w:eastAsia="仿宋_GB2312"/>
          <w:color w:val="auto"/>
          <w:sz w:val="32"/>
          <w:szCs w:val="32"/>
          <w:highlight w:val="none"/>
          <w:lang w:val="en-US" w:eastAsia="zh-CN"/>
        </w:rPr>
        <w:t>。</w:t>
      </w:r>
    </w:p>
    <w:p w14:paraId="09BF154C">
      <w:pPr>
        <w:pageBreakBefore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宋体" w:eastAsia="仿宋_GB2312"/>
          <w:color w:val="auto"/>
          <w:sz w:val="32"/>
          <w:szCs w:val="32"/>
          <w:highlight w:val="none"/>
        </w:rPr>
      </w:pPr>
      <w:r>
        <w:rPr>
          <w:rFonts w:ascii="仿宋_GB2312" w:hAnsi="宋体" w:eastAsia="仿宋_GB2312"/>
          <w:b/>
          <w:color w:val="auto"/>
          <w:sz w:val="32"/>
          <w:szCs w:val="32"/>
          <w:highlight w:val="none"/>
        </w:rPr>
        <w:t>支持民营经济发展壮大。</w:t>
      </w:r>
      <w:r>
        <w:rPr>
          <w:rFonts w:hint="eastAsia" w:ascii="仿宋_GB2312" w:hAnsi="宋体" w:eastAsia="仿宋_GB2312"/>
          <w:color w:val="auto"/>
          <w:sz w:val="32"/>
          <w:szCs w:val="32"/>
          <w:highlight w:val="none"/>
        </w:rPr>
        <w:t>坚持“两个毫不动摇”，坚决破除制约民营企业公平参与市场竞争的制度障碍，推进基础设施竞争性领域向经营主体公平开放，支持民营企业参与国家重大项目建设。全面落实促进民营企业发展的各项政策措施，推动惠企政策直达快享。发挥“一企一策”帮促和“企呼政应、接诉即办”等工作机制作用，常态化做好企业反映问题收集交办和跟踪落实，用心用情助企纾困解难，全力支持民营企业发展壮大。引导民营企业完善法人治理结构、规范股东行为、强化内部监督，实现治理规范、有效制衡、合规经营，鼓励有条件的民营企业建立完善中国特色现代企业制度。优化民营经济发展环境，全面规范涉企执法，让民营企业和企业家在台儿庄专心创业、放心投资、安心经营。</w:t>
      </w:r>
    </w:p>
    <w:p w14:paraId="0266C7D2">
      <w:pPr>
        <w:pStyle w:val="6"/>
        <w:pageBreakBefore w:val="0"/>
        <w:kinsoku/>
        <w:wordWrap/>
        <w:overflowPunct/>
        <w:topLinePunct w:val="0"/>
        <w:autoSpaceDE/>
        <w:autoSpaceDN/>
        <w:bidi w:val="0"/>
        <w:spacing w:line="600" w:lineRule="exact"/>
        <w:textAlignment w:val="auto"/>
        <w:rPr>
          <w:rFonts w:hint="eastAsia"/>
          <w:color w:val="auto"/>
          <w:highlight w:val="none"/>
        </w:rPr>
      </w:pPr>
      <w:bookmarkStart w:id="50" w:name="_Toc2745"/>
      <w:r>
        <w:rPr>
          <w:rFonts w:hint="eastAsia"/>
          <w:color w:val="auto"/>
          <w:highlight w:val="none"/>
        </w:rPr>
        <w:t>第二节 纵深推进</w:t>
      </w:r>
      <w:r>
        <w:rPr>
          <w:color w:val="auto"/>
          <w:highlight w:val="none"/>
        </w:rPr>
        <w:t>重点领域改革</w:t>
      </w:r>
      <w:bookmarkEnd w:id="50"/>
    </w:p>
    <w:p w14:paraId="66F9ABFE">
      <w:pPr>
        <w:pStyle w:val="12"/>
        <w:pageBreakBefore w:val="0"/>
        <w:kinsoku/>
        <w:wordWrap/>
        <w:overflowPunct/>
        <w:topLinePunct w:val="0"/>
        <w:autoSpaceDE/>
        <w:autoSpaceDN/>
        <w:bidi w:val="0"/>
        <w:adjustRightInd w:val="0"/>
        <w:snapToGrid w:val="0"/>
        <w:spacing w:line="600" w:lineRule="exact"/>
        <w:ind w:firstLine="643" w:firstLineChars="200"/>
        <w:textAlignment w:val="auto"/>
        <w:rPr>
          <w:rFonts w:ascii="仿宋_GB2312" w:hAnsi="宋体" w:eastAsia="仿宋_GB2312"/>
          <w:color w:val="auto"/>
          <w:sz w:val="32"/>
          <w:szCs w:val="32"/>
          <w:highlight w:val="none"/>
        </w:rPr>
      </w:pPr>
      <w:r>
        <w:rPr>
          <w:rFonts w:hint="eastAsia" w:ascii="仿宋_GB2312" w:hAnsi="宋体" w:eastAsia="仿宋_GB2312"/>
          <w:b/>
          <w:color w:val="auto"/>
          <w:sz w:val="32"/>
          <w:szCs w:val="32"/>
          <w:highlight w:val="none"/>
        </w:rPr>
        <w:t>加力打造一流营商环境。</w:t>
      </w:r>
      <w:r>
        <w:rPr>
          <w:rFonts w:hint="eastAsia" w:ascii="仿宋_GB2312" w:hAnsi="宋体" w:eastAsia="仿宋_GB2312"/>
          <w:color w:val="auto"/>
          <w:sz w:val="32"/>
          <w:szCs w:val="32"/>
          <w:highlight w:val="none"/>
        </w:rPr>
        <w:t>围绕“解决率、满意率”两个</w:t>
      </w:r>
      <w:r>
        <w:rPr>
          <w:rFonts w:hint="eastAsia" w:ascii="仿宋_GB2312" w:hAnsi="宋体" w:eastAsia="仿宋_GB2312"/>
          <w:color w:val="auto"/>
          <w:sz w:val="32"/>
          <w:szCs w:val="32"/>
          <w:highlight w:val="none"/>
          <w:lang w:val="en-US" w:eastAsia="zh-CN"/>
        </w:rPr>
        <w:t>目标</w:t>
      </w:r>
      <w:r>
        <w:rPr>
          <w:rFonts w:hint="eastAsia" w:ascii="仿宋_GB2312" w:hAnsi="宋体" w:eastAsia="仿宋_GB2312"/>
          <w:color w:val="auto"/>
          <w:sz w:val="32"/>
          <w:szCs w:val="32"/>
          <w:highlight w:val="none"/>
        </w:rPr>
        <w:t>，以“高效办成一件事”改革为</w:t>
      </w:r>
      <w:r>
        <w:rPr>
          <w:rFonts w:hint="eastAsia" w:ascii="仿宋_GB2312" w:hAnsi="宋体" w:eastAsia="仿宋_GB2312"/>
          <w:color w:val="auto"/>
          <w:sz w:val="32"/>
          <w:szCs w:val="32"/>
          <w:highlight w:val="none"/>
          <w:lang w:val="en-US" w:eastAsia="zh-CN"/>
        </w:rPr>
        <w:t>抓手</w:t>
      </w:r>
      <w:r>
        <w:rPr>
          <w:rFonts w:hint="eastAsia" w:ascii="仿宋_GB2312" w:hAnsi="宋体" w:eastAsia="仿宋_GB2312"/>
          <w:color w:val="auto"/>
          <w:sz w:val="32"/>
          <w:szCs w:val="32"/>
          <w:highlight w:val="none"/>
        </w:rPr>
        <w:t>，</w:t>
      </w:r>
      <w:r>
        <w:rPr>
          <w:rFonts w:hint="eastAsia" w:ascii="仿宋_GB2312" w:hAnsi="仿宋_GB2312" w:eastAsia="仿宋_GB2312" w:cs="仿宋_GB2312"/>
          <w:color w:val="auto"/>
          <w:sz w:val="32"/>
          <w:szCs w:val="32"/>
          <w:highlight w:val="none"/>
          <w:shd w:val="clear" w:color="auto" w:fill="FFFFFF"/>
        </w:rPr>
        <w:t>优化一体化政务服务平台功能，引入人工智能、大数据、云计算等新技术，推广“AI+政务服务”场景创新，推动市民中心设备及系统数字化升级，深化“无人工干预审批”，实现政务服务智能审批、智能客服、智能推送，提升服务精准性和智能化水平。加快老旧系统改造和硬件设备更新，提升系统稳定性与响应速度。推进政务终端智能化升级，部署智能自助终端、AI办事助手等设备，拓展“24小时不打烊”政务服务场景。建立健全部门间的协同工作机制，实现信息共享、业务协同、流程衔接，形成工作合力，提高政务服务整体效率。完善“好差评”评价体系，加强政务服务标准化建设，提升政务服务规范化水平。积极推进与周边城市的政务服务合作，实现政务服务事项的跨区域通办，打破地域限制，方便企业和群众异地办事。</w:t>
      </w:r>
      <w:r>
        <w:rPr>
          <w:rFonts w:hint="eastAsia" w:ascii="仿宋_GB2312" w:hAnsi="宋体" w:eastAsia="仿宋_GB2312"/>
          <w:color w:val="auto"/>
          <w:sz w:val="32"/>
          <w:szCs w:val="32"/>
          <w:highlight w:val="none"/>
        </w:rPr>
        <w:t>运行好“一企一策”培育帮促、“企呼政应、接诉即办”工作机制，推进“强企、兴商、富民”工程，严格涉企执法，规范市场秩序。</w:t>
      </w:r>
    </w:p>
    <w:p w14:paraId="00BA2D6A">
      <w:pPr>
        <w:pStyle w:val="12"/>
        <w:pageBreakBefore w:val="0"/>
        <w:kinsoku/>
        <w:wordWrap/>
        <w:overflowPunct/>
        <w:topLinePunct w:val="0"/>
        <w:autoSpaceDE/>
        <w:autoSpaceDN/>
        <w:bidi w:val="0"/>
        <w:adjustRightInd w:val="0"/>
        <w:snapToGrid w:val="0"/>
        <w:spacing w:line="600" w:lineRule="exact"/>
        <w:ind w:firstLine="643" w:firstLineChars="200"/>
        <w:textAlignment w:val="auto"/>
        <w:rPr>
          <w:rFonts w:ascii="仿宋_GB2312" w:hAnsi="宋体" w:eastAsia="仿宋_GB2312"/>
          <w:color w:val="auto"/>
          <w:sz w:val="32"/>
          <w:szCs w:val="32"/>
          <w:highlight w:val="none"/>
        </w:rPr>
      </w:pPr>
      <w:r>
        <w:rPr>
          <w:rFonts w:hint="eastAsia" w:ascii="仿宋_GB2312" w:hAnsi="宋体" w:eastAsia="仿宋_GB2312"/>
          <w:b/>
          <w:bCs/>
          <w:color w:val="auto"/>
          <w:sz w:val="32"/>
          <w:szCs w:val="32"/>
          <w:highlight w:val="none"/>
        </w:rPr>
        <w:t>融入全国统一大市场。</w:t>
      </w:r>
      <w:r>
        <w:rPr>
          <w:rFonts w:hint="eastAsia" w:ascii="仿宋_GB2312" w:hAnsi="仿宋_GB2312" w:eastAsia="仿宋_GB2312" w:cs="仿宋_GB2312"/>
          <w:color w:val="auto"/>
          <w:sz w:val="32"/>
          <w:szCs w:val="32"/>
          <w:highlight w:val="none"/>
          <w:shd w:val="clear" w:color="auto" w:fill="FFFFFF"/>
        </w:rPr>
        <w:t>落实全国统一大市场建设要求，实施市场准入壁垒清理整治攻坚，全面清理和整改违反市场准入制度要求的各类不合理规定和做法，落实“非禁即入”要求。</w:t>
      </w:r>
      <w:r>
        <w:rPr>
          <w:rFonts w:hint="eastAsia" w:ascii="仿宋_GB2312" w:hAnsi="宋体" w:eastAsia="仿宋_GB2312"/>
          <w:color w:val="auto"/>
          <w:sz w:val="32"/>
          <w:szCs w:val="32"/>
          <w:highlight w:val="none"/>
        </w:rPr>
        <w:t>完善公平竞争审查机制，聚焦市场准入和退出、工程建设和招标投标、政府采购、商品和要素流动等领域，清理妨碍统一市场和公平竞争的各类政策。坚决破除地方保护和市场分割，强化涉企收费领域检查，着力查处不执行政府定价或政府指导价、明码标价不规范、收取不合理费用等违法违规行为。探索建立跨部门跨区域的反不正当竞争执法信息共享、协作联动机制，提高执法的统一性、权威性、协调性。</w:t>
      </w:r>
    </w:p>
    <w:p w14:paraId="730C64B8">
      <w:pPr>
        <w:pStyle w:val="12"/>
        <w:pageBreakBefore w:val="0"/>
        <w:kinsoku/>
        <w:wordWrap/>
        <w:overflowPunct/>
        <w:topLinePunct w:val="0"/>
        <w:autoSpaceDE/>
        <w:autoSpaceDN/>
        <w:bidi w:val="0"/>
        <w:adjustRightInd w:val="0"/>
        <w:snapToGrid w:val="0"/>
        <w:spacing w:line="600" w:lineRule="exact"/>
        <w:ind w:firstLine="643" w:firstLineChars="200"/>
        <w:textAlignment w:val="auto"/>
        <w:rPr>
          <w:rFonts w:ascii="仿宋_GB2312" w:hAnsi="宋体" w:eastAsia="仿宋_GB2312"/>
          <w:color w:val="auto"/>
          <w:sz w:val="32"/>
          <w:szCs w:val="32"/>
          <w:highlight w:val="none"/>
        </w:rPr>
      </w:pPr>
      <w:r>
        <w:rPr>
          <w:rFonts w:hint="eastAsia" w:ascii="仿宋_GB2312" w:hAnsi="宋体" w:eastAsia="仿宋_GB2312"/>
          <w:b/>
          <w:bCs/>
          <w:color w:val="auto"/>
          <w:sz w:val="32"/>
          <w:szCs w:val="32"/>
          <w:highlight w:val="none"/>
        </w:rPr>
        <w:t>深化要素市场化配置改革。</w:t>
      </w:r>
      <w:r>
        <w:rPr>
          <w:rFonts w:hint="eastAsia" w:ascii="仿宋_GB2312" w:hAnsi="宋体" w:eastAsia="仿宋_GB2312"/>
          <w:color w:val="auto"/>
          <w:sz w:val="32"/>
          <w:szCs w:val="32"/>
          <w:highlight w:val="none"/>
        </w:rPr>
        <w:t>建立健全城乡统一的建设用地市场、功能完善的资本市场、流动顺畅的劳动力市场、转化高效的技术市场，促进各类要素资源高效配置。全面深化“亩产效益”综合评价改革，提升土地等资源要素节约集约利用水平，加强工业项目标准地全过程服务，加强低效用地再开发，强化批而未供和闲置土地处置，鼓励土地混合开发和空间</w:t>
      </w:r>
      <w:r>
        <w:rPr>
          <w:rFonts w:hint="eastAsia" w:ascii="仿宋_GB2312" w:hAnsi="宋体" w:eastAsia="仿宋_GB2312"/>
          <w:color w:val="auto"/>
          <w:sz w:val="32"/>
          <w:szCs w:val="32"/>
          <w:highlight w:val="none"/>
          <w:lang w:eastAsia="zh-CN"/>
        </w:rPr>
        <w:t>复合</w:t>
      </w:r>
      <w:r>
        <w:rPr>
          <w:rFonts w:hint="eastAsia" w:ascii="仿宋_GB2312" w:hAnsi="宋体" w:eastAsia="仿宋_GB2312"/>
          <w:color w:val="auto"/>
          <w:sz w:val="32"/>
          <w:szCs w:val="32"/>
          <w:highlight w:val="none"/>
        </w:rPr>
        <w:t>利用。完善并购、破产、置换等政策，盘活用好低效用地、闲置房产、存量基础设施。</w:t>
      </w:r>
      <w:r>
        <w:rPr>
          <w:rFonts w:hint="default" w:ascii="Times New Roman" w:hAnsi="Times New Roman" w:eastAsia="仿宋_GB2312" w:cs="Times New Roman"/>
          <w:color w:val="auto"/>
          <w:sz w:val="32"/>
          <w:szCs w:val="32"/>
          <w:highlight w:val="none"/>
          <w:u w:val="none" w:color="auto"/>
          <w:lang w:val="en-US" w:eastAsia="zh-CN"/>
        </w:rPr>
        <w:t>健全资源环境要素市场化交易体系，</w:t>
      </w:r>
      <w:r>
        <w:rPr>
          <w:rFonts w:hint="eastAsia" w:ascii="仿宋_GB2312" w:hAnsi="宋体" w:eastAsia="仿宋_GB2312"/>
          <w:color w:val="auto"/>
          <w:sz w:val="32"/>
          <w:szCs w:val="32"/>
          <w:highlight w:val="none"/>
        </w:rPr>
        <w:t>开展单位能耗产出效益评价，探索</w:t>
      </w:r>
      <w:r>
        <w:rPr>
          <w:rFonts w:hint="default" w:ascii="Times New Roman" w:hAnsi="Times New Roman" w:eastAsia="仿宋_GB2312" w:cs="Times New Roman"/>
          <w:color w:val="auto"/>
          <w:sz w:val="32"/>
          <w:szCs w:val="32"/>
          <w:highlight w:val="none"/>
          <w:u w:val="none" w:color="auto"/>
          <w:lang w:val="en-US" w:eastAsia="zh-CN"/>
        </w:rPr>
        <w:t>推进碳排放权、用水权、排污权等市场化交易</w:t>
      </w:r>
      <w:r>
        <w:rPr>
          <w:rFonts w:hint="eastAsia" w:ascii="仿宋_GB2312" w:hAnsi="宋体" w:eastAsia="仿宋_GB2312"/>
          <w:color w:val="auto"/>
          <w:sz w:val="32"/>
          <w:szCs w:val="32"/>
          <w:highlight w:val="none"/>
        </w:rPr>
        <w:t>。全面落实水资源费改税。推进水、能源、交通等领域价格改革</w:t>
      </w:r>
      <w:r>
        <w:rPr>
          <w:rFonts w:hint="eastAsia" w:ascii="仿宋_GB2312" w:hAnsi="宋体" w:eastAsia="仿宋_GB2312"/>
          <w:color w:val="auto"/>
          <w:sz w:val="32"/>
          <w:szCs w:val="32"/>
          <w:highlight w:val="none"/>
          <w:lang w:eastAsia="zh-CN"/>
        </w:rPr>
        <w:t>，</w:t>
      </w:r>
      <w:r>
        <w:rPr>
          <w:rFonts w:hint="eastAsia" w:ascii="仿宋_GB2312" w:hAnsi="宋体" w:eastAsia="仿宋_GB2312"/>
          <w:color w:val="auto"/>
          <w:sz w:val="32"/>
          <w:szCs w:val="32"/>
          <w:highlight w:val="none"/>
          <w:lang w:val="en-US" w:eastAsia="zh-CN"/>
        </w:rPr>
        <w:t>执行</w:t>
      </w:r>
      <w:r>
        <w:rPr>
          <w:rFonts w:hint="eastAsia" w:ascii="仿宋_GB2312" w:hAnsi="宋体" w:eastAsia="仿宋_GB2312"/>
          <w:strike w:val="0"/>
          <w:dstrike w:val="0"/>
          <w:color w:val="auto"/>
          <w:sz w:val="32"/>
          <w:szCs w:val="32"/>
          <w:highlight w:val="none"/>
        </w:rPr>
        <w:t>阶梯水价、电价、气价制度</w:t>
      </w:r>
      <w:r>
        <w:rPr>
          <w:rFonts w:hint="eastAsia" w:ascii="仿宋_GB2312" w:hAnsi="宋体" w:eastAsia="仿宋_GB2312"/>
          <w:color w:val="auto"/>
          <w:sz w:val="32"/>
          <w:szCs w:val="32"/>
          <w:highlight w:val="none"/>
        </w:rPr>
        <w:t>。</w:t>
      </w:r>
    </w:p>
    <w:p w14:paraId="0B576DF1">
      <w:pPr>
        <w:pStyle w:val="12"/>
        <w:pageBreakBefore w:val="0"/>
        <w:kinsoku/>
        <w:wordWrap/>
        <w:overflowPunct/>
        <w:topLinePunct w:val="0"/>
        <w:autoSpaceDE/>
        <w:autoSpaceDN/>
        <w:bidi w:val="0"/>
        <w:adjustRightInd w:val="0"/>
        <w:snapToGrid w:val="0"/>
        <w:spacing w:line="600" w:lineRule="exact"/>
        <w:ind w:firstLine="643" w:firstLineChars="200"/>
        <w:textAlignment w:val="auto"/>
        <w:rPr>
          <w:rFonts w:ascii="仿宋_GB2312" w:hAnsi="仿宋_GB2312" w:eastAsia="仿宋_GB2312" w:cs="仿宋_GB2312"/>
          <w:color w:val="auto"/>
          <w:spacing w:val="-6"/>
          <w:sz w:val="32"/>
          <w:szCs w:val="32"/>
          <w:highlight w:val="none"/>
        </w:rPr>
      </w:pPr>
      <w:r>
        <w:rPr>
          <w:rFonts w:hint="eastAsia" w:ascii="仿宋_GB2312" w:hAnsi="宋体" w:eastAsia="仿宋_GB2312"/>
          <w:b/>
          <w:bCs/>
          <w:color w:val="auto"/>
          <w:sz w:val="32"/>
          <w:szCs w:val="32"/>
          <w:highlight w:val="none"/>
        </w:rPr>
        <w:t>夯实财政保障发展基础。</w:t>
      </w:r>
      <w:r>
        <w:rPr>
          <w:rFonts w:hint="eastAsia" w:ascii="仿宋_GB2312" w:hAnsi="仿宋_GB2312" w:eastAsia="仿宋_GB2312" w:cs="仿宋_GB2312"/>
          <w:color w:val="auto"/>
          <w:spacing w:val="-6"/>
          <w:sz w:val="32"/>
          <w:szCs w:val="32"/>
          <w:highlight w:val="none"/>
        </w:rPr>
        <w:t>强化财政、金融、产业等政策协同，</w:t>
      </w:r>
      <w:r>
        <w:rPr>
          <w:rFonts w:hint="eastAsia" w:ascii="仿宋_GB2312" w:hAnsi="仿宋_GB2312" w:eastAsia="仿宋_GB2312" w:cs="仿宋_GB2312"/>
          <w:color w:val="auto"/>
          <w:sz w:val="32"/>
          <w:szCs w:val="32"/>
          <w:highlight w:val="none"/>
        </w:rPr>
        <w:t>加大惠企政策资金保障力度，支持企业产业转型、技术改造、科技创新，助力企业做大做强、增产增效，</w:t>
      </w:r>
      <w:r>
        <w:rPr>
          <w:rFonts w:hint="eastAsia" w:ascii="仿宋_GB2312" w:hAnsi="仿宋_GB2312" w:eastAsia="仿宋_GB2312" w:cs="仿宋_GB2312"/>
          <w:color w:val="auto"/>
          <w:spacing w:val="-6"/>
          <w:sz w:val="32"/>
          <w:szCs w:val="32"/>
          <w:highlight w:val="none"/>
        </w:rPr>
        <w:t>培育更多更稳固的财源增长点。全面深化零基预算改革，坚持以零为基、以事定钱、以效促用，构建有保有压、突出重点、统筹有力、讲求绩效的预算安排机制。积极应对财政收支紧平衡态势，健全完善过紧日子长效机制，加快构建财政支出标准体系。落实全方位、全过程、全覆盖预算绩效管理体系要求，强化绩效结果应用机制，探索成本预算绩效管理，坚决压减或取消低效无效资金。积极盘活低效闲置国有资产，进一步规范特许经营权出让，实现资金资产资源效益最大化。鼓励通过政府购买服务、政企合作等方式，引入社会资本参与政务服务系统建设与运营，推动设备更新与技术迭代。</w:t>
      </w:r>
    </w:p>
    <w:p w14:paraId="4E5F5C00">
      <w:pPr>
        <w:pStyle w:val="6"/>
        <w:pageBreakBefore w:val="0"/>
        <w:kinsoku/>
        <w:wordWrap/>
        <w:overflowPunct/>
        <w:topLinePunct w:val="0"/>
        <w:autoSpaceDE/>
        <w:autoSpaceDN/>
        <w:bidi w:val="0"/>
        <w:spacing w:line="600" w:lineRule="exact"/>
        <w:textAlignment w:val="auto"/>
        <w:rPr>
          <w:rFonts w:hint="eastAsia"/>
          <w:color w:val="auto"/>
          <w:highlight w:val="none"/>
        </w:rPr>
      </w:pPr>
      <w:bookmarkStart w:id="51" w:name="_Toc15463"/>
      <w:r>
        <w:rPr>
          <w:rFonts w:hint="eastAsia"/>
          <w:color w:val="auto"/>
          <w:highlight w:val="none"/>
        </w:rPr>
        <w:t>第三节 打造对外开放新高地</w:t>
      </w:r>
      <w:bookmarkEnd w:id="51"/>
    </w:p>
    <w:p w14:paraId="49CA6787">
      <w:pPr>
        <w:pStyle w:val="12"/>
        <w:pageBreakBefore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精准开拓多元化国际市场。</w:t>
      </w:r>
      <w:r>
        <w:rPr>
          <w:rFonts w:hint="eastAsia" w:ascii="仿宋_GB2312" w:hAnsi="仿宋_GB2312" w:eastAsia="仿宋_GB2312" w:cs="仿宋_GB2312"/>
          <w:color w:val="auto"/>
          <w:sz w:val="32"/>
          <w:szCs w:val="32"/>
          <w:highlight w:val="none"/>
        </w:rPr>
        <w:t>融入高质量共建“一带一路”行动，借助国家、省市重点展会平台，稳住欧美日韩等传统市场，深耕东南亚、中亚、中东、非洲等新兴市场。争取中国</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山东</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自由贸易试验区青岛片区与台儿庄经济开发区共建省级自贸试验区联动创新区，鼓励两地企业、行业协会等建立友好合作关系，在新能源、新材料、高端装备制造等产业领域达成深度合作。依托</w:t>
      </w:r>
      <w:r>
        <w:rPr>
          <w:rFonts w:hint="eastAsia" w:ascii="仿宋_GB2312" w:hAnsi="仿宋_GB2312" w:eastAsia="仿宋_GB2312" w:cs="仿宋_GB2312"/>
          <w:color w:val="auto"/>
          <w:sz w:val="32"/>
          <w:szCs w:val="32"/>
          <w:highlight w:val="none"/>
          <w:lang w:eastAsia="zh-CN"/>
        </w:rPr>
        <w:t>临港工业园</w:t>
      </w:r>
      <w:r>
        <w:rPr>
          <w:rFonts w:hint="eastAsia" w:ascii="仿宋_GB2312" w:hAnsi="仿宋_GB2312" w:eastAsia="仿宋_GB2312" w:cs="仿宋_GB2312"/>
          <w:color w:val="auto"/>
          <w:sz w:val="32"/>
          <w:szCs w:val="32"/>
          <w:highlight w:val="none"/>
        </w:rPr>
        <w:t>及马兰屯港物流枢纽，积极创建区级保税仓，推动半成品、中间品、原材料等商品运输至日照、徐州、连云港等港口，加快促进联动协同发展。到2030年，货物进出口总额年均增长</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%左右。</w:t>
      </w:r>
    </w:p>
    <w:p w14:paraId="36BD9DC6">
      <w:pPr>
        <w:pStyle w:val="18"/>
        <w:pageBreakBefore w:val="0"/>
        <w:widowControl/>
        <w:kinsoku/>
        <w:wordWrap/>
        <w:overflowPunct/>
        <w:topLinePunct w:val="0"/>
        <w:autoSpaceDE/>
        <w:autoSpaceDN/>
        <w:bidi w:val="0"/>
        <w:spacing w:line="600" w:lineRule="exact"/>
        <w:ind w:firstLine="640"/>
        <w:textAlignment w:val="auto"/>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b/>
          <w:bCs/>
          <w:color w:val="auto"/>
          <w:kern w:val="2"/>
          <w:sz w:val="32"/>
          <w:szCs w:val="32"/>
          <w:highlight w:val="none"/>
        </w:rPr>
        <w:t>大力发展外贸新业态新模式。</w:t>
      </w:r>
      <w:r>
        <w:rPr>
          <w:rFonts w:hint="eastAsia" w:ascii="仿宋_GB2312" w:hAnsi="仿宋_GB2312" w:eastAsia="仿宋_GB2312" w:cs="仿宋_GB2312"/>
          <w:color w:val="auto"/>
          <w:kern w:val="2"/>
          <w:sz w:val="32"/>
          <w:szCs w:val="32"/>
          <w:highlight w:val="none"/>
        </w:rPr>
        <w:t>加快“跨境电商+产业带”融合发展，</w:t>
      </w:r>
      <w:r>
        <w:rPr>
          <w:rFonts w:hint="eastAsia" w:ascii="仿宋_GB2312" w:hAnsi="仿宋_GB2312" w:eastAsia="仿宋_GB2312" w:cs="仿宋_GB2312"/>
          <w:color w:val="auto"/>
          <w:kern w:val="2"/>
          <w:sz w:val="32"/>
          <w:szCs w:val="32"/>
          <w:highlight w:val="none"/>
          <w:lang w:val="en-US" w:eastAsia="zh-CN"/>
        </w:rPr>
        <w:t>鼓励企业</w:t>
      </w:r>
      <w:r>
        <w:rPr>
          <w:rFonts w:hint="eastAsia" w:ascii="仿宋_GB2312" w:hAnsi="仿宋_GB2312" w:eastAsia="仿宋_GB2312" w:cs="仿宋_GB2312"/>
          <w:color w:val="auto"/>
          <w:kern w:val="2"/>
          <w:sz w:val="32"/>
          <w:szCs w:val="32"/>
          <w:highlight w:val="none"/>
        </w:rPr>
        <w:t>建设海外仓，培育壮大玩具、纺织服装、汽车零部件、矿山机械、造纸机械等优势产业出口集群，推动大宗商品进口，扩大服务贸易进出口总额。</w:t>
      </w:r>
      <w:r>
        <w:rPr>
          <w:rFonts w:hint="eastAsia" w:ascii="仿宋_GB2312" w:hAnsi="仿宋_GB2312" w:eastAsia="仿宋_GB2312" w:cs="仿宋_GB2312"/>
          <w:color w:val="auto"/>
          <w:sz w:val="32"/>
          <w:szCs w:val="32"/>
          <w:highlight w:val="none"/>
        </w:rPr>
        <w:t>用好国家级、省级数字展会和社交电商平台，支持龙工场跨境电商产业园申报“山东省重点培育跨境电商交易平台”，赋能外贸新业态发展。</w:t>
      </w:r>
      <w:r>
        <w:rPr>
          <w:rFonts w:hint="eastAsia" w:ascii="仿宋_GB2312" w:hAnsi="仿宋_GB2312" w:eastAsia="仿宋_GB2312" w:cs="仿宋_GB2312"/>
          <w:color w:val="auto"/>
          <w:kern w:val="2"/>
          <w:sz w:val="32"/>
          <w:szCs w:val="32"/>
          <w:highlight w:val="none"/>
        </w:rPr>
        <w:t>积极推动工业企业和国有企业高频“出海”，挖掘规上工业企业、国有企业进出口潜力，整合上下游产业链，布局开展大宗商品进出口、跨境供应链服务等“大进大出”业务，探索“本土链主+配套出海”出口新路径</w:t>
      </w:r>
      <w:r>
        <w:rPr>
          <w:rFonts w:hint="eastAsia" w:ascii="仿宋_GB2312" w:hAnsi="仿宋_GB2312" w:eastAsia="仿宋_GB2312" w:cs="仿宋_GB2312"/>
          <w:color w:val="auto"/>
          <w:sz w:val="32"/>
          <w:szCs w:val="32"/>
          <w:highlight w:val="none"/>
        </w:rPr>
        <w:t>。</w:t>
      </w:r>
    </w:p>
    <w:p w14:paraId="5CB8E1C0">
      <w:pPr>
        <w:pStyle w:val="12"/>
        <w:pageBreakBefore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拓展利用外资方式渠道。</w:t>
      </w:r>
      <w:r>
        <w:rPr>
          <w:rFonts w:hint="eastAsia" w:ascii="仿宋_GB2312" w:hAnsi="仿宋_GB2312" w:eastAsia="仿宋_GB2312" w:cs="仿宋_GB2312"/>
          <w:color w:val="auto"/>
          <w:sz w:val="32"/>
          <w:szCs w:val="32"/>
          <w:highlight w:val="none"/>
        </w:rPr>
        <w:t>聚焦制造业、服务业、新能源、高技术等重点领域加大外资招引，整合市场、城市等优质资源，吸引境外资金参与地方重大项目、基础设施建设，支持内资企业通过股权并购、增资并购等方式引进境外投资者，实现“以投资强外资”。促进“三外”联动协同发展，推动外贸企业上下游合作伙伴引入外资企业、融入对外投资和国际产能合作供应链。全生命周期服务外资企业，建立常态化交流机制，加强对重点外资企业的联系走访、跟踪服务及要素保障，助力企业扩大生产规模，以全生命周期全流程服务为抓手，持续优化外资领域营商环境。</w:t>
      </w:r>
    </w:p>
    <w:p w14:paraId="6B26C1EE">
      <w:pPr>
        <w:pStyle w:val="6"/>
        <w:pageBreakBefore w:val="0"/>
        <w:kinsoku/>
        <w:wordWrap/>
        <w:overflowPunct/>
        <w:topLinePunct w:val="0"/>
        <w:autoSpaceDE/>
        <w:autoSpaceDN/>
        <w:bidi w:val="0"/>
        <w:spacing w:line="600" w:lineRule="exact"/>
        <w:textAlignment w:val="auto"/>
        <w:rPr>
          <w:rFonts w:hint="eastAsia"/>
          <w:color w:val="auto"/>
          <w:highlight w:val="none"/>
        </w:rPr>
      </w:pPr>
      <w:bookmarkStart w:id="52" w:name="_Toc11775"/>
      <w:r>
        <w:rPr>
          <w:rFonts w:hint="eastAsia"/>
          <w:color w:val="auto"/>
          <w:highlight w:val="none"/>
        </w:rPr>
        <w:t>第四节 深度融入区域</w:t>
      </w:r>
      <w:r>
        <w:rPr>
          <w:color w:val="auto"/>
          <w:highlight w:val="none"/>
        </w:rPr>
        <w:t>重大战略</w:t>
      </w:r>
      <w:bookmarkEnd w:id="52"/>
    </w:p>
    <w:p w14:paraId="7FB26683">
      <w:pPr>
        <w:pageBreakBefore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宋体" w:eastAsia="仿宋_GB2312"/>
          <w:color w:val="auto"/>
          <w:sz w:val="32"/>
          <w:szCs w:val="32"/>
          <w:highlight w:val="none"/>
        </w:rPr>
      </w:pPr>
      <w:r>
        <w:rPr>
          <w:rFonts w:hint="eastAsia" w:ascii="仿宋_GB2312" w:hAnsi="宋体" w:eastAsia="仿宋_GB2312"/>
          <w:b/>
          <w:bCs/>
          <w:color w:val="auto"/>
          <w:sz w:val="32"/>
          <w:szCs w:val="32"/>
          <w:highlight w:val="none"/>
        </w:rPr>
        <w:t>强化与黄岛区帮扶结对。</w:t>
      </w:r>
      <w:r>
        <w:rPr>
          <w:rFonts w:hint="eastAsia" w:ascii="仿宋_GB2312" w:hAnsi="宋体" w:eastAsia="仿宋_GB2312"/>
          <w:b w:val="0"/>
          <w:bCs w:val="0"/>
          <w:color w:val="auto"/>
          <w:sz w:val="32"/>
          <w:szCs w:val="32"/>
          <w:highlight w:val="none"/>
        </w:rPr>
        <w:t>紧抓黄岛区产业帮扶机遇，做好强县产业帮扶弱县政策落实，</w:t>
      </w:r>
      <w:r>
        <w:rPr>
          <w:rFonts w:hint="eastAsia" w:ascii="仿宋_GB2312" w:hAnsi="宋体" w:eastAsia="仿宋_GB2312"/>
          <w:color w:val="auto"/>
          <w:sz w:val="32"/>
          <w:szCs w:val="32"/>
          <w:highlight w:val="none"/>
        </w:rPr>
        <w:t>进一步聚焦供应链合作、承接黄岛项目转移、加强黄岛企业配套、协同推进外资外贸、文旅产业协作等五个维度合作方向</w:t>
      </w:r>
      <w:r>
        <w:rPr>
          <w:rFonts w:hint="eastAsia" w:ascii="仿宋_GB2312" w:hAnsi="宋体" w:eastAsia="仿宋_GB2312"/>
          <w:color w:val="auto"/>
          <w:sz w:val="32"/>
          <w:szCs w:val="32"/>
          <w:highlight w:val="none"/>
          <w:lang w:eastAsia="zh-CN"/>
        </w:rPr>
        <w:t>，</w:t>
      </w:r>
      <w:r>
        <w:rPr>
          <w:rFonts w:hint="eastAsia" w:ascii="仿宋_GB2312" w:hAnsi="宋体" w:eastAsia="仿宋_GB2312"/>
          <w:b w:val="0"/>
          <w:bCs w:val="0"/>
          <w:color w:val="auto"/>
          <w:sz w:val="32"/>
          <w:szCs w:val="32"/>
          <w:highlight w:val="none"/>
        </w:rPr>
        <w:t>构建黄岛台儿庄“链上互补、生态共荣”的协同发展格局，</w:t>
      </w:r>
      <w:r>
        <w:rPr>
          <w:rFonts w:hint="eastAsia" w:ascii="仿宋_GB2312" w:hAnsi="宋体" w:eastAsia="仿宋_GB2312"/>
          <w:b w:val="0"/>
          <w:bCs w:val="0"/>
          <w:color w:val="auto"/>
          <w:sz w:val="32"/>
          <w:szCs w:val="32"/>
          <w:highlight w:val="none"/>
          <w:lang w:val="en-US" w:eastAsia="zh-CN"/>
        </w:rPr>
        <w:t>争取每年落地一个以上的产业转移、链上配套的标志性项目</w:t>
      </w:r>
      <w:r>
        <w:rPr>
          <w:rFonts w:hint="eastAsia" w:ascii="仿宋_GB2312" w:hAnsi="宋体" w:eastAsia="仿宋_GB2312"/>
          <w:b w:val="0"/>
          <w:bCs w:val="0"/>
          <w:color w:val="auto"/>
          <w:sz w:val="32"/>
          <w:szCs w:val="32"/>
          <w:highlight w:val="none"/>
        </w:rPr>
        <w:t>。加快黄岛产业园</w:t>
      </w:r>
      <w:r>
        <w:rPr>
          <w:rFonts w:hint="eastAsia" w:ascii="仿宋_GB2312" w:hAnsi="宋体" w:eastAsia="仿宋_GB2312"/>
          <w:b w:val="0"/>
          <w:bCs w:val="0"/>
          <w:color w:val="auto"/>
          <w:sz w:val="32"/>
          <w:szCs w:val="32"/>
          <w:highlight w:val="none"/>
          <w:lang w:eastAsia="zh-CN"/>
        </w:rPr>
        <w:t>、临港工业园</w:t>
      </w:r>
      <w:r>
        <w:rPr>
          <w:rFonts w:hint="eastAsia" w:ascii="仿宋_GB2312" w:hAnsi="宋体" w:eastAsia="仿宋_GB2312"/>
          <w:b w:val="0"/>
          <w:bCs w:val="0"/>
          <w:color w:val="auto"/>
          <w:sz w:val="32"/>
          <w:szCs w:val="32"/>
          <w:highlight w:val="none"/>
        </w:rPr>
        <w:t>等园区建设，做强要素保障，提升产业承载能力。深化与黄岛区高校及科研机构合作，建立黄台产学研合作平台，柔性利用外部科技和人才资源，探索“研发在黄岛、生产在台儿庄”模式</w:t>
      </w:r>
      <w:r>
        <w:rPr>
          <w:rFonts w:hint="eastAsia" w:ascii="仿宋_GB2312" w:hAnsi="宋体" w:eastAsia="仿宋_GB2312"/>
          <w:color w:val="auto"/>
          <w:sz w:val="32"/>
          <w:szCs w:val="32"/>
          <w:highlight w:val="none"/>
        </w:rPr>
        <w:t>。探索共建“飞地研发中心”，建立“产业链互补、价值链共建”合作机制，推动产业转移、技术辐射与人才互通。</w:t>
      </w:r>
    </w:p>
    <w:p w14:paraId="1D24B181">
      <w:pPr>
        <w:pageBreakBefore w:val="0"/>
        <w:kinsoku/>
        <w:wordWrap/>
        <w:overflowPunct/>
        <w:topLinePunct w:val="0"/>
        <w:autoSpaceDE/>
        <w:autoSpaceDN/>
        <w:bidi w:val="0"/>
        <w:adjustRightInd w:val="0"/>
        <w:snapToGrid w:val="0"/>
        <w:spacing w:line="600" w:lineRule="exact"/>
        <w:ind w:firstLine="643" w:firstLineChars="200"/>
        <w:textAlignment w:val="auto"/>
        <w:rPr>
          <w:rFonts w:ascii="仿宋_GB2312" w:hAnsi="宋体" w:eastAsia="仿宋_GB2312"/>
          <w:color w:val="auto"/>
          <w:sz w:val="32"/>
          <w:szCs w:val="32"/>
          <w:highlight w:val="none"/>
        </w:rPr>
      </w:pPr>
      <w:r>
        <w:rPr>
          <w:rFonts w:hint="eastAsia" w:ascii="仿宋_GB2312" w:hAnsi="宋体" w:eastAsia="仿宋_GB2312"/>
          <w:b/>
          <w:bCs/>
          <w:color w:val="auto"/>
          <w:sz w:val="32"/>
          <w:szCs w:val="32"/>
          <w:highlight w:val="none"/>
        </w:rPr>
        <w:t>融入鲁南经济圈一体化发展。</w:t>
      </w:r>
      <w:r>
        <w:rPr>
          <w:rFonts w:hint="eastAsia" w:ascii="仿宋_GB2312" w:hAnsi="宋体" w:eastAsia="仿宋_GB2312"/>
          <w:color w:val="auto"/>
          <w:sz w:val="32"/>
          <w:szCs w:val="32"/>
          <w:highlight w:val="none"/>
        </w:rPr>
        <w:t>加快功能协同、产业合作、交通对接、品质提升，深化与全市重点产业链的配套协作，主动融入现代化强市建设全局。发挥台儿庄古城品牌效应，加强与薛城、山亭、滕州等区县旅游合作，促进“南客北引”。积极加强台儿庄古城与微山湖旅游区的合作，探索建立“资源共享、客源互送、线路互通、政策互惠”的机制，共建低空旅游示范场景。融入沿大运河文化体验廊道建设，深化与沿线地区在交通基础设施、考古保护、文化旅游、生态保护等领域的合作。</w:t>
      </w:r>
    </w:p>
    <w:p w14:paraId="6F953D24">
      <w:pPr>
        <w:pageBreakBefore w:val="0"/>
        <w:kinsoku/>
        <w:wordWrap/>
        <w:overflowPunct/>
        <w:topLinePunct w:val="0"/>
        <w:autoSpaceDE/>
        <w:autoSpaceDN/>
        <w:bidi w:val="0"/>
        <w:adjustRightInd w:val="0"/>
        <w:snapToGrid w:val="0"/>
        <w:spacing w:line="600" w:lineRule="exact"/>
        <w:ind w:firstLine="643" w:firstLineChars="200"/>
        <w:textAlignment w:val="auto"/>
        <w:rPr>
          <w:rFonts w:hint="eastAsia" w:ascii="Times New Roman" w:hAnsi="Times New Roman" w:eastAsia="仿宋_GB2312" w:cs="仿宋_GB2312"/>
          <w:color w:val="auto"/>
          <w:sz w:val="32"/>
          <w:szCs w:val="32"/>
          <w:highlight w:val="none"/>
        </w:rPr>
      </w:pPr>
      <w:r>
        <w:rPr>
          <w:rFonts w:hint="eastAsia" w:ascii="仿宋_GB2312" w:hAnsi="宋体" w:eastAsia="仿宋_GB2312"/>
          <w:b/>
          <w:bCs/>
          <w:color w:val="auto"/>
          <w:sz w:val="32"/>
          <w:szCs w:val="32"/>
          <w:highlight w:val="none"/>
        </w:rPr>
        <w:t>融入重大区域战略。</w:t>
      </w:r>
      <w:r>
        <w:rPr>
          <w:rFonts w:hint="eastAsia" w:ascii="仿宋_GB2312" w:hAnsi="宋体" w:eastAsia="仿宋_GB2312"/>
          <w:color w:val="auto"/>
          <w:sz w:val="32"/>
          <w:szCs w:val="32"/>
          <w:highlight w:val="none"/>
        </w:rPr>
        <w:t>积极融入苏皖鲁豫省际交界地区协同发展，推进交通基础设施、生态保护治理、文化旅游发展等领域合作，推动“跨省通办”联动合作，建立通办事项清单动态调整与完善机制，进一步拓展通办事项、加强政务数据共享，打造省际毗邻地区合作样板。</w:t>
      </w:r>
      <w:r>
        <w:rPr>
          <w:rFonts w:hint="default" w:ascii="Times New Roman" w:hAnsi="Times New Roman" w:eastAsia="仿宋_GB2312" w:cs="Times New Roman"/>
          <w:b w:val="0"/>
          <w:bCs w:val="0"/>
          <w:color w:val="auto"/>
          <w:sz w:val="32"/>
          <w:szCs w:val="32"/>
          <w:highlight w:val="none"/>
          <w:u w:val="none" w:color="auto"/>
          <w:lang w:val="en-US" w:eastAsia="zh-CN"/>
        </w:rPr>
        <w:t>主动对接黄河</w:t>
      </w:r>
      <w:r>
        <w:rPr>
          <w:rFonts w:hint="eastAsia" w:ascii="Times New Roman" w:hAnsi="Times New Roman" w:eastAsia="仿宋_GB2312" w:cs="Times New Roman"/>
          <w:b w:val="0"/>
          <w:bCs w:val="0"/>
          <w:color w:val="auto"/>
          <w:sz w:val="32"/>
          <w:szCs w:val="32"/>
          <w:highlight w:val="none"/>
          <w:u w:val="none" w:color="auto"/>
          <w:lang w:val="en-US" w:eastAsia="zh-CN"/>
        </w:rPr>
        <w:t>流域</w:t>
      </w:r>
      <w:r>
        <w:rPr>
          <w:rFonts w:hint="default" w:ascii="Times New Roman" w:hAnsi="Times New Roman" w:eastAsia="仿宋_GB2312" w:cs="Times New Roman"/>
          <w:b w:val="0"/>
          <w:bCs w:val="0"/>
          <w:color w:val="auto"/>
          <w:sz w:val="32"/>
          <w:szCs w:val="32"/>
          <w:highlight w:val="none"/>
          <w:u w:val="none" w:color="auto"/>
          <w:lang w:val="en-US" w:eastAsia="zh-CN"/>
        </w:rPr>
        <w:t>、淮河生态经济带等国家</w:t>
      </w:r>
      <w:r>
        <w:rPr>
          <w:rFonts w:hint="eastAsia" w:eastAsia="仿宋_GB2312" w:cs="Times New Roman"/>
          <w:b w:val="0"/>
          <w:bCs w:val="0"/>
          <w:color w:val="auto"/>
          <w:sz w:val="32"/>
          <w:szCs w:val="32"/>
          <w:highlight w:val="none"/>
          <w:u w:val="none" w:color="auto"/>
          <w:lang w:val="en-US" w:eastAsia="zh-CN"/>
        </w:rPr>
        <w:t>区域</w:t>
      </w:r>
      <w:r>
        <w:rPr>
          <w:rFonts w:hint="default" w:ascii="Times New Roman" w:hAnsi="Times New Roman" w:eastAsia="仿宋_GB2312" w:cs="Times New Roman"/>
          <w:b w:val="0"/>
          <w:bCs w:val="0"/>
          <w:color w:val="auto"/>
          <w:sz w:val="32"/>
          <w:szCs w:val="32"/>
          <w:highlight w:val="none"/>
          <w:u w:val="none" w:color="auto"/>
          <w:lang w:val="en-US" w:eastAsia="zh-CN"/>
        </w:rPr>
        <w:t>战略</w:t>
      </w:r>
      <w:r>
        <w:rPr>
          <w:rFonts w:hint="eastAsia" w:ascii="仿宋_GB2312" w:hAnsi="宋体" w:eastAsia="仿宋_GB2312"/>
          <w:color w:val="auto"/>
          <w:sz w:val="32"/>
          <w:szCs w:val="32"/>
          <w:highlight w:val="none"/>
        </w:rPr>
        <w:t>，持续推进生态保护修复和污染防治，做好河道水系治理、生态环境修复、文化遗产保护</w:t>
      </w:r>
      <w:r>
        <w:rPr>
          <w:rFonts w:hint="eastAsia" w:ascii="仿宋_GB2312" w:hAnsi="宋体" w:eastAsia="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聚焦京津冀、长三角、大湾区等重点区域，紧盯“锂机材纺纸”五大主导产业及低空经济等新兴产业、未来产业，打好产业链招商、以商招商、资本招商、平台招商、资源招商、场景招商等“组合拳”，全力招引一批头部企业、补链团队和标志性项目。</w:t>
      </w:r>
    </w:p>
    <w:p w14:paraId="4E165C3E">
      <w:pPr>
        <w:adjustRightInd w:val="0"/>
        <w:snapToGrid w:val="0"/>
        <w:spacing w:line="600" w:lineRule="exact"/>
        <w:ind w:firstLine="640" w:firstLineChars="200"/>
        <w:rPr>
          <w:rFonts w:hint="eastAsia" w:ascii="仿宋_GB2312" w:hAnsi="宋体" w:eastAsia="仿宋_GB2312"/>
          <w:color w:val="auto"/>
          <w:sz w:val="32"/>
          <w:szCs w:val="32"/>
          <w:highlight w:val="none"/>
        </w:rPr>
      </w:pPr>
    </w:p>
    <w:p w14:paraId="61479DCA">
      <w:pPr>
        <w:pStyle w:val="12"/>
        <w:adjustRightInd w:val="0"/>
        <w:snapToGrid w:val="0"/>
        <w:spacing w:line="600" w:lineRule="exact"/>
        <w:ind w:firstLine="640" w:firstLineChars="200"/>
        <w:rPr>
          <w:rFonts w:hint="eastAsia" w:ascii="仿宋_GB2312" w:hAnsi="宋体" w:eastAsia="仿宋_GB2312"/>
          <w:color w:val="auto"/>
          <w:sz w:val="32"/>
          <w:szCs w:val="32"/>
          <w:highlight w:val="none"/>
        </w:rPr>
      </w:pPr>
    </w:p>
    <w:p w14:paraId="66151669">
      <w:pPr>
        <w:pStyle w:val="5"/>
        <w:adjustRightInd w:val="0"/>
        <w:snapToGrid w:val="0"/>
        <w:spacing w:before="240" w:after="240" w:line="600" w:lineRule="exact"/>
        <w:jc w:val="center"/>
        <w:rPr>
          <w:rFonts w:hint="eastAsia" w:ascii="黑体" w:hAnsi="黑体" w:eastAsia="黑体"/>
          <w:b w:val="0"/>
          <w:bCs w:val="0"/>
          <w:color w:val="auto"/>
          <w:sz w:val="32"/>
          <w:szCs w:val="32"/>
          <w:highlight w:val="none"/>
        </w:rPr>
        <w:sectPr>
          <w:footnotePr>
            <w:numFmt w:val="decimalEnclosedCircleChinese"/>
            <w:numRestart w:val="eachPage"/>
          </w:footnotePr>
          <w:pgSz w:w="11906" w:h="16838"/>
          <w:pgMar w:top="1984" w:right="1587" w:bottom="1701" w:left="1587" w:header="851" w:footer="1134" w:gutter="0"/>
          <w:pgNumType w:fmt="numberInDash"/>
          <w:cols w:space="720" w:num="1"/>
          <w:docGrid w:type="lines" w:linePitch="312" w:charSpace="0"/>
        </w:sectPr>
      </w:pPr>
    </w:p>
    <w:p w14:paraId="18D7C594">
      <w:pPr>
        <w:pStyle w:val="5"/>
        <w:adjustRightInd w:val="0"/>
        <w:snapToGrid w:val="0"/>
        <w:spacing w:before="240" w:after="240" w:line="600" w:lineRule="exact"/>
        <w:jc w:val="center"/>
        <w:rPr>
          <w:rFonts w:ascii="黑体" w:hAnsi="黑体" w:eastAsia="黑体"/>
          <w:b w:val="0"/>
          <w:bCs w:val="0"/>
          <w:color w:val="auto"/>
          <w:sz w:val="32"/>
          <w:szCs w:val="32"/>
          <w:highlight w:val="none"/>
        </w:rPr>
      </w:pPr>
      <w:bookmarkStart w:id="53" w:name="_Toc18435"/>
      <w:r>
        <w:rPr>
          <w:rFonts w:hint="eastAsia" w:ascii="黑体" w:hAnsi="黑体" w:eastAsia="黑体"/>
          <w:b w:val="0"/>
          <w:bCs w:val="0"/>
          <w:color w:val="auto"/>
          <w:sz w:val="32"/>
          <w:szCs w:val="32"/>
          <w:highlight w:val="none"/>
        </w:rPr>
        <w:t>第九章 突出人的全面发展，更大力度保障和改善民生</w:t>
      </w:r>
      <w:bookmarkEnd w:id="53"/>
    </w:p>
    <w:p w14:paraId="3C5F0819">
      <w:pPr>
        <w:pStyle w:val="12"/>
        <w:adjustRightInd w:val="0"/>
        <w:snapToGrid w:val="0"/>
        <w:spacing w:line="60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秉持“小城大民生”理念，坚持尽力而为、量力而行，扎实办好就业、教育、医疗、养老等民生实事，解决好人民最关心最直接最现实的利益问题，让老百姓底气更足、笑脸更多、生活更好。到2030年，推动人的全面发展、全体人民共同富裕取得实质性进展。</w:t>
      </w:r>
    </w:p>
    <w:p w14:paraId="44E4B1A1">
      <w:pPr>
        <w:pStyle w:val="6"/>
        <w:bidi w:val="0"/>
        <w:rPr>
          <w:rFonts w:hint="eastAsia"/>
          <w:color w:val="auto"/>
          <w:highlight w:val="none"/>
        </w:rPr>
      </w:pPr>
      <w:bookmarkStart w:id="54" w:name="_Toc25984"/>
      <w:r>
        <w:rPr>
          <w:rFonts w:hint="eastAsia"/>
          <w:color w:val="auto"/>
          <w:highlight w:val="none"/>
        </w:rPr>
        <w:t>第一节 实现更加充分更高质量就业</w:t>
      </w:r>
      <w:bookmarkEnd w:id="54"/>
    </w:p>
    <w:p w14:paraId="2A5B971A">
      <w:pPr>
        <w:pStyle w:val="12"/>
        <w:adjustRightInd w:val="0"/>
        <w:snapToGrid w:val="0"/>
        <w:spacing w:line="60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优化公共就业服务。</w:t>
      </w:r>
      <w:r>
        <w:rPr>
          <w:rFonts w:hint="eastAsia" w:ascii="仿宋_GB2312" w:hAnsi="仿宋_GB2312" w:eastAsia="仿宋_GB2312" w:cs="仿宋_GB2312"/>
          <w:color w:val="auto"/>
          <w:sz w:val="32"/>
          <w:szCs w:val="32"/>
          <w:highlight w:val="none"/>
        </w:rPr>
        <w:t>全面落实就业优先战略，</w:t>
      </w:r>
      <w:r>
        <w:rPr>
          <w:rFonts w:hint="eastAsia" w:ascii="仿宋_GB2312" w:hAnsi="仿宋_GB2312" w:eastAsia="仿宋_GB2312" w:cs="仿宋_GB2312"/>
          <w:b w:val="0"/>
          <w:bCs w:val="0"/>
          <w:color w:val="auto"/>
          <w:sz w:val="32"/>
          <w:szCs w:val="32"/>
          <w:highlight w:val="none"/>
        </w:rPr>
        <w:t>健全公共就业服务体系，推进区、镇（街）、村（社区）三级公共就业服务网络提质增效，完善就业信息发布、职业介绍、创业服务、政策落实、就业失业管理、就业援助等功能，优化全链条就业公共服务。开展“社区微业”行动，加强“家门口”灵活就业服务站和“零工驿站”建设，打造“15分钟就业服务圈”，建设一批高质量充分就业社区。实施就业服务质量提升工程，持续开展急需紧缺职业（工种）目录调查发布，组织开展公共就业服务专项活动，以重点企业用工服务为切入点，加大重点企业用工服务招聘力度。推进智慧就业服务平台建设，推动数据共享和业务协同</w:t>
      </w:r>
      <w:r>
        <w:rPr>
          <w:rFonts w:hint="eastAsia" w:ascii="仿宋_GB2312" w:hAnsi="仿宋_GB2312" w:eastAsia="仿宋_GB2312" w:cs="仿宋_GB2312"/>
          <w:color w:val="auto"/>
          <w:sz w:val="32"/>
          <w:szCs w:val="32"/>
          <w:highlight w:val="none"/>
        </w:rPr>
        <w:t>。</w:t>
      </w:r>
    </w:p>
    <w:p w14:paraId="5EBF7F80">
      <w:pPr>
        <w:pStyle w:val="12"/>
        <w:adjustRightInd w:val="0"/>
        <w:snapToGrid w:val="0"/>
        <w:spacing w:line="600" w:lineRule="exact"/>
        <w:ind w:firstLine="643" w:firstLineChars="200"/>
        <w:rPr>
          <w:rFonts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抓好重点群体就业。</w:t>
      </w:r>
      <w:r>
        <w:rPr>
          <w:rFonts w:hint="eastAsia" w:ascii="仿宋_GB2312" w:hAnsi="仿宋_GB2312" w:eastAsia="仿宋_GB2312" w:cs="仿宋_GB2312"/>
          <w:color w:val="auto"/>
          <w:sz w:val="32"/>
          <w:szCs w:val="32"/>
          <w:highlight w:val="none"/>
        </w:rPr>
        <w:t>常态化开展促就业活动，突出抓好高校毕业生、登记失业人员、农民工、退役军人等重点群体就业</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持续开展高校毕业生就业创业计划、公共就业服务进校园活动、就业见习岗位募集计划、离校未就业毕业生服务攻坚行动，用好各类高校毕业生就业创业补贴补助政策。强化困难群体就业服务</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主动开展“敲门式”服务，落实“12333”帮扶举措。加强新就业形态劳动者权益保障，支持和规范发展新就业形态</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压实用人单位工资支付主体责任和清偿责任，持续深化根治欠薪工作，切实维护劳动者合法权益。</w:t>
      </w:r>
      <w:r>
        <w:rPr>
          <w:rFonts w:ascii="仿宋_GB2312" w:hAnsi="仿宋_GB2312" w:eastAsia="仿宋_GB2312" w:cs="仿宋_GB2312"/>
          <w:color w:val="auto"/>
          <w:sz w:val="32"/>
          <w:szCs w:val="32"/>
          <w:highlight w:val="none"/>
        </w:rPr>
        <w:t>到</w:t>
      </w:r>
      <w:r>
        <w:rPr>
          <w:rFonts w:hint="eastAsia" w:ascii="仿宋_GB2312" w:hAnsi="仿宋_GB2312" w:eastAsia="仿宋_GB2312" w:cs="仿宋_GB2312"/>
          <w:color w:val="auto"/>
          <w:sz w:val="32"/>
          <w:szCs w:val="32"/>
          <w:highlight w:val="none"/>
        </w:rPr>
        <w:t>2030年</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城镇新增就业1.</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万人以上。</w:t>
      </w:r>
    </w:p>
    <w:p w14:paraId="6C7F95A3">
      <w:pPr>
        <w:pStyle w:val="12"/>
        <w:adjustRightInd w:val="0"/>
        <w:snapToGrid w:val="0"/>
        <w:spacing w:line="60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支持创业带动就业。</w:t>
      </w:r>
      <w:r>
        <w:rPr>
          <w:rFonts w:hint="eastAsia" w:ascii="仿宋_GB2312" w:hAnsi="仿宋_GB2312" w:eastAsia="仿宋_GB2312" w:cs="仿宋_GB2312"/>
          <w:color w:val="auto"/>
          <w:sz w:val="32"/>
          <w:szCs w:val="32"/>
          <w:highlight w:val="none"/>
        </w:rPr>
        <w:t>继续实施“创业齐鲁”行动，加大创业担保贷款发放力度，争取</w:t>
      </w:r>
      <w:r>
        <w:rPr>
          <w:rFonts w:ascii="仿宋_GB2312" w:hAnsi="仿宋_GB2312" w:eastAsia="仿宋_GB2312" w:cs="仿宋_GB2312"/>
          <w:color w:val="auto"/>
          <w:sz w:val="32"/>
          <w:szCs w:val="32"/>
          <w:highlight w:val="none"/>
        </w:rPr>
        <w:t>每年</w:t>
      </w:r>
      <w:r>
        <w:rPr>
          <w:rFonts w:hint="eastAsia" w:ascii="仿宋_GB2312" w:hAnsi="仿宋_GB2312" w:eastAsia="仿宋_GB2312" w:cs="仿宋_GB2312"/>
          <w:color w:val="auto"/>
          <w:sz w:val="32"/>
          <w:szCs w:val="32"/>
          <w:highlight w:val="none"/>
        </w:rPr>
        <w:t>发放创业担保贷款5000万元以上。加大创业担保贷款政策宣传，通过多方渠道加大创业担保贷款政策宣传力度。深入实施“创业培训+”专项行动，组织参加马兰花创业培训讲师大赛、创业讲师培训班等活动，加强“共富工坊”、妇女微家等阵地建设</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加大专项能力培训力度，扩大职业技能培训范围。完善终身职业技能培训制度，打造职业技能培训品牌。深化“技能+创业”服务模式，统筹开展创业服务活动，组织参加各类创业创新大赛。</w:t>
      </w:r>
    </w:p>
    <w:p w14:paraId="67DAD78C">
      <w:pPr>
        <w:pStyle w:val="6"/>
        <w:pageBreakBefore w:val="0"/>
        <w:kinsoku/>
        <w:wordWrap/>
        <w:bidi w:val="0"/>
        <w:spacing w:line="600" w:lineRule="exact"/>
        <w:textAlignment w:val="auto"/>
        <w:rPr>
          <w:rFonts w:hint="eastAsia"/>
          <w:color w:val="auto"/>
          <w:highlight w:val="none"/>
        </w:rPr>
      </w:pPr>
      <w:bookmarkStart w:id="55" w:name="_Toc25248"/>
      <w:r>
        <w:rPr>
          <w:rFonts w:hint="eastAsia"/>
          <w:color w:val="auto"/>
          <w:highlight w:val="none"/>
        </w:rPr>
        <w:t>第二节 全力办好人民满意教育</w:t>
      </w:r>
      <w:bookmarkEnd w:id="55"/>
    </w:p>
    <w:p w14:paraId="1C63EB4A">
      <w:pPr>
        <w:pageBreakBefore w:val="0"/>
        <w:kinsoku/>
        <w:wordWrap/>
        <w:bidi w:val="0"/>
        <w:spacing w:line="600" w:lineRule="exact"/>
        <w:ind w:firstLine="643" w:firstLineChars="200"/>
        <w:textAlignment w:val="auto"/>
        <w:rPr>
          <w:rFonts w:ascii="仿宋_GB2312" w:hAnsi="仿宋_GB2312" w:eastAsia="仿宋_GB2312" w:cs="仿宋_GB2312"/>
          <w:color w:val="auto"/>
          <w:sz w:val="32"/>
          <w:szCs w:val="32"/>
          <w:highlight w:val="none"/>
        </w:rPr>
      </w:pPr>
      <w:r>
        <w:rPr>
          <w:rFonts w:hint="eastAsia" w:ascii="仿宋_GB2312" w:eastAsia="仿宋_GB2312"/>
          <w:b/>
          <w:color w:val="auto"/>
          <w:sz w:val="32"/>
          <w:szCs w:val="32"/>
          <w:highlight w:val="none"/>
        </w:rPr>
        <w:t>全面落实立德树人根本任务。</w:t>
      </w:r>
      <w:r>
        <w:rPr>
          <w:rFonts w:hint="eastAsia" w:ascii="仿宋_GB2312" w:eastAsia="仿宋_GB2312"/>
          <w:color w:val="auto"/>
          <w:sz w:val="32"/>
          <w:szCs w:val="32"/>
          <w:highlight w:val="none"/>
        </w:rPr>
        <w:t>加强和改进新时代学校思想政治教育，推进大中小学思政课一体化改革创新，加强大中小学思政课教师队伍建设，打造“大思政课”实践基地、“行走的思政课”实践教学（研学）路线。推动理想信念教育常态化制度化，加强学校铸牢中华民族共同体意识教育，推动党、团、队育人链条衔接贯通。坚持“五育”并举，全面推进素质教育，促进学生全面成长成才。</w:t>
      </w:r>
      <w:r>
        <w:rPr>
          <w:rFonts w:hint="eastAsia" w:ascii="仿宋_GB2312" w:hAnsi="仿宋_GB2312" w:eastAsia="仿宋_GB2312" w:cs="仿宋_GB2312"/>
          <w:color w:val="auto"/>
          <w:sz w:val="32"/>
          <w:szCs w:val="32"/>
          <w:highlight w:val="none"/>
        </w:rPr>
        <w:t>实施学生体质强健计划，有效提升学生体质健康水平。实施学校美育浸润计划，促进美育与相关学科融合。强化心理健康教师队伍建设，实施学校心理健康提升行动。</w:t>
      </w:r>
    </w:p>
    <w:p w14:paraId="0E3C9146">
      <w:pPr>
        <w:pageBreakBefore w:val="0"/>
        <w:kinsoku/>
        <w:wordWrap/>
        <w:bidi w:val="0"/>
        <w:spacing w:line="600" w:lineRule="exact"/>
        <w:ind w:firstLine="643"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color w:val="auto"/>
          <w:sz w:val="32"/>
          <w:szCs w:val="32"/>
          <w:highlight w:val="none"/>
        </w:rPr>
        <w:t>扩大优质教育资源覆盖面。</w:t>
      </w:r>
      <w:r>
        <w:rPr>
          <w:rFonts w:hint="eastAsia" w:ascii="仿宋_GB2312" w:hAnsi="仿宋_GB2312" w:eastAsia="仿宋_GB2312" w:cs="仿宋_GB2312"/>
          <w:color w:val="auto"/>
          <w:sz w:val="32"/>
          <w:szCs w:val="32"/>
          <w:highlight w:val="none"/>
          <w:lang w:val="en-US" w:eastAsia="zh-CN"/>
        </w:rPr>
        <w:t>着力构建与人口变化相协调的资源动态配置机制，依据学龄人口流动趋势精准调整和扩增城镇教育资源供给，加强城乡、校际资源统筹与余缺调配。优化农村学校布局，改善办学条件，启用涧头集镇中心小学新建教学楼。加强学校信息化建设，提高教学装备水平。逐步推行免费学前教育，争创国家学前教育普及普惠县。通过集团化办学、联盟化共建，提升薄弱学校办学水平，推进城乡学校共同体建设。支持普通高中特色多样发展和内涵建设。加强特殊教育和专门教育保障，巩固拓展“双减”成效，深化课堂教学改革，提升课堂教学与课后服务质量。深化与知名教育集团合作办学，放大示范效应，推动枣庄二中、兰祺实验学校争树校地合作样板，打造鲁南地区品牌学校。</w:t>
      </w:r>
    </w:p>
    <w:p w14:paraId="06E7CFBD">
      <w:pPr>
        <w:pageBreakBefore w:val="0"/>
        <w:kinsoku/>
        <w:wordWrap/>
        <w:bidi w:val="0"/>
        <w:spacing w:line="60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建设高素质专业化教师队伍。</w:t>
      </w:r>
      <w:r>
        <w:rPr>
          <w:rFonts w:hint="eastAsia" w:ascii="仿宋_GB2312" w:hAnsi="仿宋_GB2312" w:eastAsia="仿宋_GB2312" w:cs="仿宋_GB2312"/>
          <w:b w:val="0"/>
          <w:bCs/>
          <w:color w:val="auto"/>
          <w:sz w:val="32"/>
          <w:szCs w:val="32"/>
          <w:highlight w:val="none"/>
          <w:lang w:val="en-US" w:eastAsia="zh-CN"/>
        </w:rPr>
        <w:t>深入</w:t>
      </w:r>
      <w:r>
        <w:rPr>
          <w:rFonts w:hint="eastAsia" w:ascii="仿宋_GB2312" w:hAnsi="仿宋_GB2312" w:eastAsia="仿宋_GB2312" w:cs="仿宋_GB2312"/>
          <w:color w:val="auto"/>
          <w:sz w:val="32"/>
          <w:szCs w:val="32"/>
          <w:highlight w:val="none"/>
        </w:rPr>
        <w:t>实施名师、名班主任、名校长“三名”工程，完善教师全员培训制度和体系，优化教师培训内容，提升教师教书育人能力。实施教育家精神铸魂强师行动，加强师德师风建设，优化教师资源配置，强化高素质教师培养供给，打造一支师德高尚、业务精湛、结构合理、充满活力的高素质专业化教师队伍。健全新时代师德师风建设长效机制，推进各校“立规矩”“设章程”“建机制”，加快建立制度化、常态化、长效化的师德机制。建立城乡教师发展共同体，加强交流轮岗制度建设，通过送教下乡、跨校教研等方式促进优质资源辐射。加大各级各类教师待遇保障力度，维护教师合法权益。</w:t>
      </w:r>
    </w:p>
    <w:p w14:paraId="7B39D2B5">
      <w:pPr>
        <w:pageBreakBefore w:val="0"/>
        <w:kinsoku/>
        <w:wordWrap/>
        <w:bidi w:val="0"/>
        <w:spacing w:line="60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加快建设现代职业教育体系。</w:t>
      </w:r>
      <w:r>
        <w:rPr>
          <w:rFonts w:hint="eastAsia" w:ascii="仿宋_GB2312" w:hAnsi="仿宋_GB2312" w:eastAsia="仿宋_GB2312" w:cs="仿宋_GB2312"/>
          <w:color w:val="auto"/>
          <w:sz w:val="32"/>
          <w:szCs w:val="32"/>
          <w:highlight w:val="none"/>
        </w:rPr>
        <w:t>紧密对接枣庄市“</w:t>
      </w:r>
      <w:r>
        <w:rPr>
          <w:rFonts w:hint="eastAsia" w:ascii="仿宋_GB2312" w:hAnsi="仿宋_GB2312" w:eastAsia="仿宋_GB2312" w:cs="仿宋_GB2312"/>
          <w:color w:val="auto"/>
          <w:sz w:val="32"/>
          <w:szCs w:val="32"/>
          <w:highlight w:val="none"/>
          <w:lang w:val="en-US" w:eastAsia="zh-CN"/>
        </w:rPr>
        <w:t>432</w:t>
      </w:r>
      <w:r>
        <w:rPr>
          <w:rFonts w:hint="eastAsia" w:ascii="仿宋_GB2312" w:hAnsi="仿宋_GB2312" w:eastAsia="仿宋_GB2312" w:cs="仿宋_GB2312"/>
          <w:color w:val="auto"/>
          <w:sz w:val="32"/>
          <w:szCs w:val="32"/>
          <w:highlight w:val="none"/>
        </w:rPr>
        <w:t>”现代</w:t>
      </w:r>
      <w:r>
        <w:rPr>
          <w:rFonts w:hint="eastAsia" w:ascii="仿宋_GB2312" w:hAnsi="仿宋_GB2312" w:eastAsia="仿宋_GB2312" w:cs="仿宋_GB2312"/>
          <w:color w:val="auto"/>
          <w:sz w:val="32"/>
          <w:szCs w:val="32"/>
          <w:highlight w:val="none"/>
          <w:lang w:val="en-US" w:eastAsia="zh-CN"/>
        </w:rPr>
        <w:t>化</w:t>
      </w:r>
      <w:r>
        <w:rPr>
          <w:rFonts w:hint="eastAsia" w:ascii="仿宋_GB2312" w:hAnsi="仿宋_GB2312" w:eastAsia="仿宋_GB2312" w:cs="仿宋_GB2312"/>
          <w:color w:val="auto"/>
          <w:sz w:val="32"/>
          <w:szCs w:val="32"/>
          <w:highlight w:val="none"/>
        </w:rPr>
        <w:t>产业体系，优化专业结构，打造高水平特色专业群。深化课程改革，构建“核心技能分级、核心课程分层、培养过程分段”的课程体系，及时将新技术、新工艺、新规范纳入教学，推进“岗课赛证”综合育人。实施“双师型”教师培养工程，选派教师赴企业实践锻炼，聘请企业技能大师担任兼职教师，力争“双师型”教师比例提高至80%。深化产教融合，创新“校企命运共同体”模式，</w:t>
      </w:r>
      <w:r>
        <w:rPr>
          <w:rFonts w:hint="eastAsia" w:ascii="仿宋_GB2312" w:hAnsi="仿宋_GB2312" w:eastAsia="仿宋_GB2312" w:cs="仿宋_GB2312"/>
          <w:color w:val="auto"/>
          <w:sz w:val="32"/>
          <w:szCs w:val="32"/>
          <w:highlight w:val="none"/>
          <w:lang w:val="en-US" w:eastAsia="zh-CN"/>
        </w:rPr>
        <w:t>紧密对接台儿庄区主导产业，支持乡村振兴发展，与</w:t>
      </w:r>
      <w:r>
        <w:rPr>
          <w:rFonts w:hint="eastAsia" w:ascii="仿宋_GB2312" w:hAnsi="仿宋_GB2312" w:eastAsia="仿宋_GB2312" w:cs="仿宋_GB2312"/>
          <w:color w:val="auto"/>
          <w:sz w:val="32"/>
          <w:szCs w:val="32"/>
          <w:highlight w:val="none"/>
        </w:rPr>
        <w:t>重点企业共建“校中厂”“厂中校”。开展现代学徒制与企业冠名班试点，实现“人才共育、过程共管、成果共享、责任共担”。促进职业教育与普通教育融通，强化普通中小学职业启蒙教育。</w:t>
      </w:r>
    </w:p>
    <w:p w14:paraId="4784D3B5">
      <w:pPr>
        <w:pageBreakBefore w:val="0"/>
        <w:kinsoku/>
        <w:wordWrap/>
        <w:bidi w:val="0"/>
        <w:spacing w:line="60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深入实施教育数字化战略。</w:t>
      </w:r>
      <w:r>
        <w:rPr>
          <w:rFonts w:hint="eastAsia" w:ascii="仿宋_GB2312" w:hAnsi="仿宋_GB2312" w:eastAsia="仿宋_GB2312" w:cs="仿宋_GB2312"/>
          <w:color w:val="auto"/>
          <w:sz w:val="32"/>
          <w:szCs w:val="32"/>
          <w:highlight w:val="none"/>
        </w:rPr>
        <w:t>全面加强校园网络、人工智能教育等基础设施与智慧校园建设，推进教育数字化转型，打造适应人工智能发展的以学生为中心的教育教学场景。全面提升师生数字素养与技能，将数字素养培养融入教育教学全过程，着力培育具有数字意识、计算思维、终身学习能力和社会责任感的数字公民，以数字化转型赋能区域教育高质量发展。</w:t>
      </w:r>
    </w:p>
    <w:p w14:paraId="7B072511">
      <w:pPr>
        <w:pStyle w:val="6"/>
        <w:keepNext/>
        <w:keepLines/>
        <w:pageBreakBefore w:val="0"/>
        <w:widowControl w:val="0"/>
        <w:kinsoku/>
        <w:wordWrap/>
        <w:overflowPunct/>
        <w:topLinePunct w:val="0"/>
        <w:autoSpaceDE/>
        <w:autoSpaceDN/>
        <w:bidi w:val="0"/>
        <w:adjustRightInd w:val="0"/>
        <w:snapToGrid w:val="0"/>
        <w:spacing w:line="600" w:lineRule="exact"/>
        <w:textAlignment w:val="auto"/>
        <w:rPr>
          <w:rFonts w:hint="eastAsia"/>
          <w:color w:val="auto"/>
          <w:highlight w:val="none"/>
        </w:rPr>
      </w:pPr>
      <w:bookmarkStart w:id="56" w:name="_Toc25065"/>
      <w:bookmarkStart w:id="57" w:name="_Toc210491718"/>
      <w:r>
        <w:rPr>
          <w:rFonts w:hint="eastAsia"/>
          <w:color w:val="auto"/>
          <w:highlight w:val="none"/>
        </w:rPr>
        <w:t>第三节 健全多层次社会保障体系</w:t>
      </w:r>
      <w:bookmarkEnd w:id="56"/>
      <w:bookmarkEnd w:id="57"/>
    </w:p>
    <w:p w14:paraId="17EC8B5A">
      <w:pPr>
        <w:pageBreakBefore w:val="0"/>
        <w:widowControl/>
        <w:kinsoku/>
        <w:wordWrap/>
        <w:overflowPunct w:val="0"/>
        <w:bidi w:val="0"/>
        <w:spacing w:line="60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完善基本社会保险制度，健全社会救助体系，健全覆盖全民、统筹城乡、公平统一、安全规范、可持续的多层次社会保障体系，织密扎牢社会保障安全网。</w:t>
      </w:r>
    </w:p>
    <w:p w14:paraId="690BE9EE">
      <w:pPr>
        <w:pageBreakBefore w:val="0"/>
        <w:widowControl/>
        <w:kinsoku/>
        <w:wordWrap/>
        <w:overflowPunct w:val="0"/>
        <w:bidi w:val="0"/>
        <w:spacing w:line="60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健全</w:t>
      </w:r>
      <w:r>
        <w:rPr>
          <w:rFonts w:hint="eastAsia" w:ascii="仿宋_GB2312" w:hAnsi="仿宋_GB2312" w:eastAsia="仿宋_GB2312" w:cs="仿宋_GB2312"/>
          <w:b/>
          <w:bCs/>
          <w:color w:val="auto"/>
          <w:sz w:val="32"/>
          <w:szCs w:val="32"/>
          <w:highlight w:val="none"/>
          <w:lang w:eastAsia="zh-CN"/>
        </w:rPr>
        <w:t>多层次社会保障体系</w:t>
      </w: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color w:val="auto"/>
          <w:sz w:val="32"/>
          <w:szCs w:val="32"/>
          <w:highlight w:val="none"/>
        </w:rPr>
        <w:t>扎实做好社保待遇核定与发放，稳妥实施渐进式延迟法定退休年龄，完善企业职工基本养老保险个人账户制度。实施精准扩面参保，持续推进灵活就业人员、农民工、新业态从业人员等群体参保，努力实现法定人群全覆盖，持续扩大参保规模、提升参保质量。加快发展多层次多支柱养老保险体系，落实职业年金制度，扩大覆盖范围，推行个人养老金制度。落实基本医疗保险、失业保险、工伤保险省级统筹，健全重大疾病医疗保险和救助制度，落实异地就医结算周转金制度，全面实施长期护理保险制度。强化基金监管，构建“人防、制防、技防、群防”四防协同的基金监管体系，守护好群众“救命钱”。</w:t>
      </w:r>
    </w:p>
    <w:p w14:paraId="75D7B0A0">
      <w:pPr>
        <w:pageBreakBefore w:val="0"/>
        <w:widowControl/>
        <w:kinsoku/>
        <w:wordWrap/>
        <w:overflowPunct w:val="0"/>
        <w:bidi w:val="0"/>
        <w:spacing w:line="60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健全社会救助体系。</w:t>
      </w:r>
      <w:r>
        <w:rPr>
          <w:rFonts w:hint="eastAsia" w:ascii="仿宋_GB2312" w:hAnsi="仿宋_GB2312" w:eastAsia="仿宋_GB2312" w:cs="仿宋_GB2312"/>
          <w:color w:val="auto"/>
          <w:sz w:val="32"/>
          <w:szCs w:val="32"/>
          <w:highlight w:val="none"/>
        </w:rPr>
        <w:t>分层分类实施综合救助，完善专项救助，落实低保、特困人员基本生活救助，健全急难救助制度，确保兜住底、兜准底、兜好底。加强低收入人口动态监测，依托省低收入人口动态监测平台，高效衔接线上预警与线下核查，形成“一户（人）一条救助帮扶链”的闭环管理，对需要救助的困难群众做到早发现、早介入、早救助。加强社会救助与乡村振兴战略衔接，推进防止返贫帮扶政策和低收入人口常态化帮扶政策衔接并轨。完善“物质+服务”救助政策，推进生存型救助向发展型救助转变，鼓励引导困难群众通过劳动改善生活。健全“党建+救助”工作机制，构建区、镇（街）、村（居）联动工作体系，设立社会救助“一门受理、协同办理”综合服务窗口，推动党建与救助工作深度融合。探索“慈善+救助”工作模式，畅通慈善力量参与社会救助渠道，推进“慈善救急难双百行动”，推动政府救助与慈善帮扶有效衔接。</w:t>
      </w:r>
    </w:p>
    <w:p w14:paraId="09A06DD4">
      <w:pPr>
        <w:pageBreakBefore w:val="0"/>
        <w:widowControl/>
        <w:kinsoku/>
        <w:wordWrap/>
        <w:overflowPunct w:val="0"/>
        <w:bidi w:val="0"/>
        <w:spacing w:line="60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加快发展社会福利事业。</w:t>
      </w:r>
      <w:r>
        <w:rPr>
          <w:rFonts w:hint="eastAsia" w:ascii="仿宋_GB2312" w:hAnsi="仿宋_GB2312" w:eastAsia="仿宋_GB2312" w:cs="仿宋_GB2312"/>
          <w:color w:val="auto"/>
          <w:sz w:val="32"/>
          <w:szCs w:val="32"/>
          <w:highlight w:val="none"/>
        </w:rPr>
        <w:t>完善残疾人关爱服务体系，落实困难残疾人“两项补贴”制度，建设提升“如康家园”残疾人之家，强化残疾预防和精准康复，推进重度残疾人托养照护服务。强化孤困儿童保障，加大农村留守儿童关爱帮扶，鼓励引导悠凯关爱协会、台儿庄义工协会等社会组织通过政府购买服务方式，主动参与关爱保护农村留守儿童工作。加强社会组织培育管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推动行业协会商会</w:t>
      </w:r>
      <w:r>
        <w:rPr>
          <w:rFonts w:hint="eastAsia" w:ascii="仿宋_GB2312" w:hAnsi="仿宋_GB2312" w:eastAsia="仿宋_GB2312" w:cs="仿宋_GB2312"/>
          <w:color w:val="auto"/>
          <w:sz w:val="32"/>
          <w:szCs w:val="32"/>
          <w:highlight w:val="none"/>
          <w:lang w:val="en-US" w:eastAsia="zh-CN"/>
        </w:rPr>
        <w:t>健康有序</w:t>
      </w:r>
      <w:r>
        <w:rPr>
          <w:rFonts w:hint="eastAsia" w:ascii="仿宋_GB2312" w:hAnsi="仿宋_GB2312" w:eastAsia="仿宋_GB2312" w:cs="仿宋_GB2312"/>
          <w:color w:val="auto"/>
          <w:sz w:val="32"/>
          <w:szCs w:val="32"/>
          <w:highlight w:val="none"/>
        </w:rPr>
        <w:t>发展。</w:t>
      </w:r>
      <w:r>
        <w:rPr>
          <w:rFonts w:hint="eastAsia" w:ascii="仿宋_GB2312" w:hAnsi="仿宋_GB2312" w:eastAsia="仿宋_GB2312" w:cs="仿宋_GB2312"/>
          <w:color w:val="auto"/>
          <w:sz w:val="32"/>
          <w:szCs w:val="32"/>
          <w:highlight w:val="none"/>
          <w:lang w:val="en-US" w:eastAsia="zh-CN"/>
        </w:rPr>
        <w:t>发挥社会组织培育发展服务中心作用，为社会组织提供服务，引导社会组织在发展公益慈善事业、基层治理等方面发挥积极作用</w:t>
      </w:r>
      <w:r>
        <w:rPr>
          <w:rFonts w:hint="eastAsia" w:ascii="仿宋_GB2312" w:hAnsi="仿宋_GB2312" w:eastAsia="仿宋_GB2312" w:cs="仿宋_GB2312"/>
          <w:color w:val="auto"/>
          <w:sz w:val="32"/>
          <w:szCs w:val="32"/>
          <w:highlight w:val="none"/>
        </w:rPr>
        <w:t>。健全完善殡葬设施体系，按照每个镇街至少建成1处镇级、2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3处村级公益性公墓标准，加强公共墓地建设，完善配套服务设施，建立覆盖城乡居民的殡葬设施服务体系。深化殡葬移风易俗改革，开展“四倡四禁”移风易俗宣传，加大墓区管护力度，推动绿色殡葬、文明殡葬、</w:t>
      </w:r>
      <w:r>
        <w:rPr>
          <w:rFonts w:hint="eastAsia" w:ascii="仿宋_GB2312" w:hAnsi="仿宋_GB2312" w:eastAsia="仿宋_GB2312" w:cs="仿宋_GB2312"/>
          <w:color w:val="auto"/>
          <w:sz w:val="32"/>
          <w:szCs w:val="32"/>
          <w:highlight w:val="none"/>
          <w:lang w:eastAsia="zh-CN"/>
        </w:rPr>
        <w:t>节</w:t>
      </w:r>
      <w:r>
        <w:rPr>
          <w:rFonts w:hint="eastAsia" w:ascii="仿宋_GB2312" w:hAnsi="仿宋_GB2312" w:eastAsia="仿宋_GB2312" w:cs="仿宋_GB2312"/>
          <w:color w:val="auto"/>
          <w:sz w:val="32"/>
          <w:szCs w:val="32"/>
          <w:highlight w:val="none"/>
        </w:rPr>
        <w:t>地生态安葬，树立现代文明殡葬新风尚。</w:t>
      </w:r>
    </w:p>
    <w:p w14:paraId="2F0AB314">
      <w:pPr>
        <w:pageBreakBefore w:val="0"/>
        <w:widowControl/>
        <w:kinsoku/>
        <w:wordWrap/>
        <w:overflowPunct w:val="0"/>
        <w:bidi w:val="0"/>
        <w:spacing w:line="60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加强退役军人服务保障。</w:t>
      </w:r>
      <w:r>
        <w:rPr>
          <w:rFonts w:hint="eastAsia" w:ascii="仿宋_GB2312" w:hAnsi="仿宋_GB2312" w:eastAsia="仿宋_GB2312" w:cs="仿宋_GB2312"/>
          <w:color w:val="auto"/>
          <w:sz w:val="32"/>
          <w:szCs w:val="32"/>
          <w:highlight w:val="none"/>
        </w:rPr>
        <w:t>建立健全军人军属、退役军人和其他优抚对象优待政策体系</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建好用好退役军人服务站，按照“全覆盖”“五有”要求，打造“退役军人之家”。做好退役军人安置工作，落实优抚优待政策，推动退役军人待遇保障制度创新完善，建立健全优抚对象抚恤补助标准自然增长机制，合理提高退役军人及优抚对象待遇水平。健全从机关、人民团体、事业单位和国有企业中归集专项岗位用于接收安置退役军人制度。营造爱国拥军、尊重优抚对象浓厚社会氛围。</w:t>
      </w:r>
    </w:p>
    <w:p w14:paraId="6514C99A">
      <w:pPr>
        <w:pStyle w:val="6"/>
        <w:pageBreakBefore w:val="0"/>
        <w:kinsoku/>
        <w:wordWrap/>
        <w:bidi w:val="0"/>
        <w:spacing w:line="600" w:lineRule="exact"/>
        <w:textAlignment w:val="auto"/>
        <w:rPr>
          <w:color w:val="auto"/>
          <w:highlight w:val="none"/>
        </w:rPr>
      </w:pPr>
      <w:bookmarkStart w:id="58" w:name="_Toc22973"/>
      <w:r>
        <w:rPr>
          <w:rFonts w:hint="eastAsia"/>
          <w:color w:val="auto"/>
          <w:highlight w:val="none"/>
        </w:rPr>
        <w:t>第四节 加快建设“健康台儿庄”</w:t>
      </w:r>
      <w:bookmarkEnd w:id="58"/>
      <w:r>
        <w:rPr>
          <w:color w:val="auto"/>
          <w:highlight w:val="none"/>
        </w:rPr>
        <w:t xml:space="preserve"> </w:t>
      </w:r>
    </w:p>
    <w:p w14:paraId="07FF81C4">
      <w:pPr>
        <w:pStyle w:val="12"/>
        <w:pageBreakBefore w:val="0"/>
        <w:kinsoku/>
        <w:wordWrap/>
        <w:bidi w:val="0"/>
        <w:adjustRightInd w:val="0"/>
        <w:snapToGrid w:val="0"/>
        <w:spacing w:line="600" w:lineRule="exact"/>
        <w:ind w:firstLine="643" w:firstLineChars="200"/>
        <w:textAlignment w:val="auto"/>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优化基层医疗服务网络。</w:t>
      </w:r>
      <w:r>
        <w:rPr>
          <w:rFonts w:hint="eastAsia" w:ascii="仿宋_GB2312" w:hAnsi="仿宋_GB2312" w:eastAsia="仿宋_GB2312" w:cs="仿宋_GB2312"/>
          <w:color w:val="auto"/>
          <w:sz w:val="32"/>
          <w:szCs w:val="32"/>
          <w:highlight w:val="none"/>
        </w:rPr>
        <w:t>落实基层医疗卫生机构功能定位，健全以</w:t>
      </w:r>
      <w:r>
        <w:rPr>
          <w:rFonts w:hint="eastAsia" w:ascii="仿宋_GB2312" w:hAnsi="仿宋_GB2312" w:eastAsia="仿宋_GB2312" w:cs="仿宋_GB2312"/>
          <w:color w:val="auto"/>
          <w:sz w:val="32"/>
          <w:szCs w:val="32"/>
          <w:highlight w:val="none"/>
          <w:lang w:val="en-US" w:eastAsia="zh-CN"/>
        </w:rPr>
        <w:t>区</w:t>
      </w:r>
      <w:r>
        <w:rPr>
          <w:rFonts w:hint="eastAsia" w:ascii="仿宋_GB2312" w:hAnsi="仿宋_GB2312" w:eastAsia="仿宋_GB2312" w:cs="仿宋_GB2312"/>
          <w:color w:val="auto"/>
          <w:sz w:val="32"/>
          <w:szCs w:val="32"/>
          <w:highlight w:val="none"/>
        </w:rPr>
        <w:t>级医院为龙头、</w:t>
      </w:r>
      <w:r>
        <w:rPr>
          <w:rFonts w:hint="eastAsia" w:ascii="仿宋_GB2312" w:hAnsi="仿宋_GB2312" w:eastAsia="仿宋_GB2312" w:cs="仿宋_GB2312"/>
          <w:color w:val="auto"/>
          <w:sz w:val="32"/>
          <w:szCs w:val="32"/>
          <w:highlight w:val="none"/>
          <w:lang w:val="en-US" w:eastAsia="zh-CN"/>
        </w:rPr>
        <w:t>镇街</w:t>
      </w:r>
      <w:r>
        <w:rPr>
          <w:rFonts w:hint="eastAsia" w:ascii="仿宋_GB2312" w:hAnsi="仿宋_GB2312" w:eastAsia="仿宋_GB2312" w:cs="仿宋_GB2312"/>
          <w:color w:val="auto"/>
          <w:sz w:val="32"/>
          <w:szCs w:val="32"/>
          <w:highlight w:val="none"/>
        </w:rPr>
        <w:t>卫生院为枢纽、村卫生室为基础的医疗卫生服务体系。深化紧密型县域医共体建设，探索智慧医疗应用，建设一体化全民健康信息平台，深化区人民医院与山东省立医院合作，</w:t>
      </w:r>
      <w:r>
        <w:rPr>
          <w:rFonts w:hint="eastAsia" w:ascii="仿宋_GB2312" w:hAnsi="仿宋_GB2312" w:eastAsia="仿宋_GB2312" w:cs="仿宋_GB2312"/>
          <w:color w:val="auto"/>
          <w:sz w:val="32"/>
          <w:szCs w:val="32"/>
          <w:highlight w:val="none"/>
          <w:lang w:val="en-US" w:eastAsia="zh-CN"/>
        </w:rPr>
        <w:t>探索</w:t>
      </w:r>
      <w:r>
        <w:rPr>
          <w:rFonts w:hint="eastAsia" w:ascii="仿宋_GB2312" w:hAnsi="仿宋_GB2312" w:eastAsia="仿宋_GB2312" w:cs="仿宋_GB2312"/>
          <w:color w:val="auto"/>
          <w:sz w:val="32"/>
          <w:szCs w:val="32"/>
          <w:highlight w:val="none"/>
        </w:rPr>
        <w:t>推动山东中医药大学第一附属医院、山东中医药大学第二附属医院</w:t>
      </w:r>
      <w:r>
        <w:rPr>
          <w:rFonts w:hint="eastAsia" w:ascii="仿宋_GB2312" w:hAnsi="仿宋_GB2312" w:eastAsia="仿宋_GB2312" w:cs="仿宋_GB2312"/>
          <w:color w:val="auto"/>
          <w:sz w:val="32"/>
          <w:szCs w:val="32"/>
          <w:highlight w:val="none"/>
          <w:lang w:val="en-US" w:eastAsia="zh-CN"/>
        </w:rPr>
        <w:t>与</w:t>
      </w:r>
      <w:r>
        <w:rPr>
          <w:rFonts w:hint="eastAsia" w:ascii="仿宋_GB2312" w:hAnsi="仿宋_GB2312" w:eastAsia="仿宋_GB2312" w:cs="仿宋_GB2312"/>
          <w:color w:val="auto"/>
          <w:sz w:val="32"/>
          <w:szCs w:val="32"/>
          <w:highlight w:val="none"/>
        </w:rPr>
        <w:t>区中医院合作，提升医疗服务能力。推动实现每个</w:t>
      </w:r>
      <w:r>
        <w:rPr>
          <w:rFonts w:hint="eastAsia" w:ascii="仿宋_GB2312" w:hAnsi="仿宋_GB2312" w:eastAsia="仿宋_GB2312" w:cs="仿宋_GB2312"/>
          <w:color w:val="auto"/>
          <w:sz w:val="32"/>
          <w:szCs w:val="32"/>
          <w:highlight w:val="none"/>
          <w:lang w:val="en-US" w:eastAsia="zh-CN"/>
        </w:rPr>
        <w:t>镇街</w:t>
      </w:r>
      <w:r>
        <w:rPr>
          <w:rFonts w:hint="eastAsia" w:ascii="仿宋_GB2312" w:hAnsi="仿宋_GB2312" w:eastAsia="仿宋_GB2312" w:cs="仿宋_GB2312"/>
          <w:color w:val="auto"/>
          <w:sz w:val="32"/>
          <w:szCs w:val="32"/>
          <w:highlight w:val="none"/>
        </w:rPr>
        <w:t>卫生院、社区卫生服务中心均有</w:t>
      </w:r>
      <w:r>
        <w:rPr>
          <w:rFonts w:hint="eastAsia" w:ascii="仿宋_GB2312" w:hAnsi="仿宋_GB2312" w:eastAsia="仿宋_GB2312" w:cs="仿宋_GB2312"/>
          <w:color w:val="auto"/>
          <w:sz w:val="32"/>
          <w:szCs w:val="32"/>
          <w:highlight w:val="none"/>
          <w:lang w:val="en-US" w:eastAsia="zh-CN"/>
        </w:rPr>
        <w:t>区</w:t>
      </w:r>
      <w:r>
        <w:rPr>
          <w:rFonts w:hint="eastAsia" w:ascii="仿宋_GB2312" w:hAnsi="仿宋_GB2312" w:eastAsia="仿宋_GB2312" w:cs="仿宋_GB2312"/>
          <w:color w:val="auto"/>
          <w:sz w:val="32"/>
          <w:szCs w:val="32"/>
          <w:highlight w:val="none"/>
        </w:rPr>
        <w:t>级及以上医疗卫生机构中高级职称医师派驻。整合全区医疗机构资源，统一医共体药品目录</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建设</w:t>
      </w:r>
      <w:r>
        <w:rPr>
          <w:rFonts w:hint="eastAsia" w:ascii="仿宋_GB2312" w:hAnsi="仿宋_GB2312" w:eastAsia="仿宋_GB2312" w:cs="仿宋_GB2312"/>
          <w:color w:val="auto"/>
          <w:sz w:val="32"/>
          <w:szCs w:val="32"/>
          <w:highlight w:val="none"/>
        </w:rPr>
        <w:t>审方中心，实现检查结果互认，强化基层医疗机构服务能力，实现“小病在镇村、大病不出区”。结合人口变化趋势优化</w:t>
      </w:r>
      <w:r>
        <w:rPr>
          <w:rFonts w:hint="eastAsia" w:ascii="仿宋_GB2312" w:hAnsi="仿宋_GB2312" w:eastAsia="仿宋_GB2312" w:cs="仿宋_GB2312"/>
          <w:color w:val="auto"/>
          <w:sz w:val="32"/>
          <w:szCs w:val="32"/>
          <w:highlight w:val="none"/>
          <w:lang w:val="en-US" w:eastAsia="zh-CN"/>
        </w:rPr>
        <w:t>镇街</w:t>
      </w:r>
      <w:r>
        <w:rPr>
          <w:rFonts w:hint="eastAsia" w:ascii="仿宋_GB2312" w:hAnsi="仿宋_GB2312" w:eastAsia="仿宋_GB2312" w:cs="仿宋_GB2312"/>
          <w:color w:val="auto"/>
          <w:sz w:val="32"/>
          <w:szCs w:val="32"/>
          <w:highlight w:val="none"/>
        </w:rPr>
        <w:t>卫生院、村卫生室和社区卫生服务中心（站）设置，打造“15分钟医疗卫生服务圈”。完善医疗急救体系，改善装备条件，提升重症和危重症患者急救、转运能力，畅通急救服务绿色通道。</w:t>
      </w:r>
    </w:p>
    <w:p w14:paraId="0ACAD9D7">
      <w:pPr>
        <w:pageBreakBefore w:val="0"/>
        <w:kinsoku/>
        <w:wordWrap/>
        <w:topLinePunct/>
        <w:autoSpaceDE w:val="0"/>
        <w:autoSpaceDN w:val="0"/>
        <w:bidi w:val="0"/>
        <w:spacing w:line="600" w:lineRule="exact"/>
        <w:ind w:firstLine="643"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完善中医药服务体系。</w:t>
      </w:r>
      <w:r>
        <w:rPr>
          <w:rFonts w:hint="eastAsia" w:ascii="仿宋_GB2312" w:hAnsi="仿宋_GB2312" w:eastAsia="仿宋_GB2312" w:cs="仿宋_GB2312"/>
          <w:b w:val="0"/>
          <w:bCs w:val="0"/>
          <w:color w:val="auto"/>
          <w:sz w:val="32"/>
          <w:szCs w:val="32"/>
          <w:highlight w:val="none"/>
          <w:lang w:val="en-US" w:eastAsia="zh-CN"/>
        </w:rPr>
        <w:t>提高财政支持力度，</w:t>
      </w:r>
      <w:r>
        <w:rPr>
          <w:rFonts w:hint="eastAsia" w:ascii="仿宋_GB2312" w:hAnsi="仿宋_GB2312" w:eastAsia="仿宋_GB2312" w:cs="仿宋_GB2312"/>
          <w:b w:val="0"/>
          <w:bCs w:val="0"/>
          <w:color w:val="auto"/>
          <w:sz w:val="32"/>
          <w:szCs w:val="32"/>
          <w:highlight w:val="none"/>
        </w:rPr>
        <w:t>构建优质高效的中医药服务体系</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rPr>
        <w:t>推动</w:t>
      </w:r>
      <w:r>
        <w:rPr>
          <w:rFonts w:hint="eastAsia" w:ascii="仿宋_GB2312" w:hAnsi="仿宋_GB2312" w:eastAsia="仿宋_GB2312" w:cs="仿宋_GB2312"/>
          <w:b w:val="0"/>
          <w:bCs w:val="0"/>
          <w:color w:val="auto"/>
          <w:sz w:val="32"/>
          <w:szCs w:val="32"/>
          <w:highlight w:val="none"/>
          <w:lang w:val="en-US" w:eastAsia="zh-CN"/>
        </w:rPr>
        <w:t>全区</w:t>
      </w:r>
      <w:r>
        <w:rPr>
          <w:rFonts w:hint="eastAsia" w:ascii="仿宋_GB2312" w:hAnsi="仿宋_GB2312" w:eastAsia="仿宋_GB2312" w:cs="仿宋_GB2312"/>
          <w:b w:val="0"/>
          <w:bCs w:val="0"/>
          <w:color w:val="auto"/>
          <w:sz w:val="32"/>
          <w:szCs w:val="32"/>
          <w:highlight w:val="none"/>
        </w:rPr>
        <w:t>中医药</w:t>
      </w:r>
      <w:r>
        <w:rPr>
          <w:rFonts w:hint="eastAsia" w:ascii="仿宋_GB2312" w:hAnsi="仿宋_GB2312" w:eastAsia="仿宋_GB2312" w:cs="仿宋_GB2312"/>
          <w:b w:val="0"/>
          <w:bCs w:val="0"/>
          <w:color w:val="auto"/>
          <w:sz w:val="32"/>
          <w:szCs w:val="32"/>
          <w:highlight w:val="none"/>
          <w:lang w:val="en-US" w:eastAsia="zh-CN"/>
        </w:rPr>
        <w:t>事业发展</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color w:val="auto"/>
          <w:sz w:val="32"/>
          <w:szCs w:val="32"/>
          <w:highlight w:val="none"/>
        </w:rPr>
        <w:t>加强</w:t>
      </w:r>
      <w:r>
        <w:rPr>
          <w:rFonts w:hint="eastAsia" w:ascii="仿宋_GB2312" w:hAnsi="仿宋_GB2312" w:eastAsia="仿宋_GB2312" w:cs="仿宋_GB2312"/>
          <w:color w:val="auto"/>
          <w:sz w:val="32"/>
          <w:szCs w:val="32"/>
          <w:highlight w:val="none"/>
          <w:lang w:val="en-US" w:eastAsia="zh-CN"/>
        </w:rPr>
        <w:t>区中医院</w:t>
      </w:r>
      <w:r>
        <w:rPr>
          <w:rFonts w:hint="eastAsia" w:ascii="仿宋_GB2312" w:hAnsi="仿宋_GB2312" w:eastAsia="仿宋_GB2312" w:cs="仿宋_GB2312"/>
          <w:color w:val="auto"/>
          <w:sz w:val="32"/>
          <w:szCs w:val="32"/>
          <w:highlight w:val="none"/>
        </w:rPr>
        <w:t>重点科室建设，</w:t>
      </w:r>
      <w:r>
        <w:rPr>
          <w:rFonts w:hint="eastAsia" w:ascii="仿宋_GB2312" w:hAnsi="仿宋_GB2312" w:eastAsia="仿宋_GB2312" w:cs="仿宋_GB2312"/>
          <w:color w:val="auto"/>
          <w:sz w:val="32"/>
          <w:szCs w:val="32"/>
          <w:highlight w:val="none"/>
          <w:lang w:val="en-US" w:eastAsia="zh-CN"/>
        </w:rPr>
        <w:t>积极培育有中医特色的镇（街）卫生机构和村卫生室，确保全区设置中医阁的村卫生室占比达到标准</w:t>
      </w:r>
      <w:r>
        <w:rPr>
          <w:rFonts w:hint="eastAsia" w:ascii="仿宋_GB2312" w:hAnsi="仿宋_GB2312" w:eastAsia="仿宋_GB2312" w:cs="仿宋_GB2312"/>
          <w:color w:val="auto"/>
          <w:sz w:val="32"/>
          <w:szCs w:val="32"/>
          <w:highlight w:val="none"/>
        </w:rPr>
        <w:t>。在区人民医院、妇幼保健计划生育服务中心推广“四有”（有机制、有团队、有措施、有成效）中西医结合医疗模式。</w:t>
      </w:r>
      <w:r>
        <w:rPr>
          <w:rFonts w:hint="eastAsia" w:ascii="仿宋_GB2312" w:hAnsi="仿宋_GB2312" w:eastAsia="仿宋_GB2312" w:cs="仿宋_GB2312"/>
          <w:color w:val="auto"/>
          <w:sz w:val="32"/>
          <w:szCs w:val="32"/>
          <w:highlight w:val="none"/>
          <w:lang w:val="en-US" w:eastAsia="zh-CN"/>
        </w:rPr>
        <w:t>建强中医药人才队伍，面向镇（街）卫生机构医师和乡村医生持续开展中医药适宜技术培训，打造坚强有力的中医药人才队伍</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同时，扎实</w:t>
      </w:r>
      <w:r>
        <w:rPr>
          <w:rFonts w:hint="eastAsia" w:ascii="仿宋_GB2312" w:hAnsi="仿宋_GB2312" w:eastAsia="仿宋_GB2312" w:cs="仿宋_GB2312"/>
          <w:color w:val="auto"/>
          <w:sz w:val="32"/>
          <w:szCs w:val="32"/>
          <w:highlight w:val="none"/>
        </w:rPr>
        <w:t>推进中医医共体建设，推动优质中医医疗资源下沉基层。</w:t>
      </w:r>
      <w:r>
        <w:rPr>
          <w:rFonts w:hint="eastAsia" w:ascii="仿宋_GB2312" w:hAnsi="仿宋_GB2312" w:eastAsia="仿宋_GB2312" w:cs="仿宋_GB2312"/>
          <w:color w:val="auto"/>
          <w:sz w:val="32"/>
          <w:szCs w:val="32"/>
          <w:highlight w:val="none"/>
          <w:lang w:val="en-US" w:eastAsia="zh-CN"/>
        </w:rPr>
        <w:t>弘扬中医药传统文化</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建成省级中医药文化宣传教育基地1处，市区级中医药文化宣传教育基地2处，推动</w:t>
      </w:r>
      <w:r>
        <w:rPr>
          <w:rFonts w:hint="eastAsia" w:ascii="仿宋_GB2312" w:hAnsi="仿宋_GB2312" w:eastAsia="仿宋_GB2312" w:cs="仿宋_GB2312"/>
          <w:color w:val="auto"/>
          <w:sz w:val="32"/>
          <w:szCs w:val="32"/>
          <w:highlight w:val="none"/>
        </w:rPr>
        <w:t>“中医药文化体验日”</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中医药进夜市</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等活动常态化开展，积极</w:t>
      </w:r>
      <w:r>
        <w:rPr>
          <w:rFonts w:hint="eastAsia" w:ascii="仿宋_GB2312" w:hAnsi="仿宋_GB2312" w:eastAsia="仿宋_GB2312" w:cs="仿宋_GB2312"/>
          <w:color w:val="auto"/>
          <w:sz w:val="32"/>
          <w:szCs w:val="32"/>
          <w:highlight w:val="none"/>
        </w:rPr>
        <w:t>争创全国基层中医药工作示范县。</w:t>
      </w:r>
    </w:p>
    <w:p w14:paraId="38E8DEE0">
      <w:pPr>
        <w:pageBreakBefore w:val="0"/>
        <w:kinsoku/>
        <w:wordWrap/>
        <w:topLinePunct/>
        <w:autoSpaceDE w:val="0"/>
        <w:autoSpaceDN w:val="0"/>
        <w:bidi w:val="0"/>
        <w:spacing w:line="600" w:lineRule="exact"/>
        <w:ind w:firstLine="643"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深化办名院、建名科、增名医“三名”工程。</w:t>
      </w:r>
      <w:r>
        <w:rPr>
          <w:rFonts w:hint="eastAsia" w:ascii="仿宋_GB2312" w:hAnsi="仿宋_GB2312" w:eastAsia="仿宋_GB2312" w:cs="仿宋_GB2312"/>
          <w:color w:val="auto"/>
          <w:sz w:val="32"/>
          <w:szCs w:val="32"/>
          <w:highlight w:val="none"/>
        </w:rPr>
        <w:t>坚持“名医带名科、名科创名院”，</w:t>
      </w:r>
      <w:r>
        <w:rPr>
          <w:rFonts w:hint="eastAsia" w:ascii="仿宋_GB2312" w:hAnsi="仿宋_GB2312" w:eastAsia="仿宋_GB2312" w:cs="仿宋_GB2312"/>
          <w:color w:val="auto"/>
          <w:sz w:val="32"/>
          <w:szCs w:val="32"/>
          <w:highlight w:val="none"/>
          <w:lang w:val="en-US" w:eastAsia="zh-CN"/>
        </w:rPr>
        <w:t>实施</w:t>
      </w:r>
      <w:r>
        <w:rPr>
          <w:rFonts w:hint="eastAsia" w:ascii="仿宋_GB2312" w:hAnsi="仿宋_GB2312" w:eastAsia="仿宋_GB2312" w:cs="仿宋_GB2312"/>
          <w:color w:val="auto"/>
          <w:sz w:val="32"/>
          <w:szCs w:val="32"/>
          <w:highlight w:val="none"/>
        </w:rPr>
        <w:t>人才分层培养、重点学科建设、服务能力提升等重点任务，提升区域医疗服务能力，打造区域医疗高地。柔性引进名医（团队），积极拓展合作路径，以定期坐诊及培训指导、创建名医工作站、远程诊疗等方式进行合作，助推重点学科、特色专科和薄弱学科建设。加快本土名医培育，依托现有重点科室和优势科室，培育评选学术或学科带头人。加快优势专科建设，按照省市重点专科建设标准，推进人才梯队搭建、核心技术引进、基础设备升级及业务能力提升，到2030年</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新创建省、市级重点专科10个。加快推进“十大中心”建设，实现对死亡率高、疾病负担重、异地就医集中、严重危害群众健康病种的救治技术平移，推进区人民医院医疗服务能力达到三级乙等水平。</w:t>
      </w:r>
    </w:p>
    <w:p w14:paraId="1236B859">
      <w:pPr>
        <w:pageBreakBefore w:val="0"/>
        <w:kinsoku/>
        <w:wordWrap/>
        <w:bidi w:val="0"/>
        <w:spacing w:line="600" w:lineRule="exact"/>
        <w:ind w:firstLine="643" w:firstLineChars="200"/>
        <w:textAlignment w:val="auto"/>
        <w:rPr>
          <w:rFonts w:hint="eastAsia" w:cs="Times New Roman"/>
          <w:color w:val="auto"/>
          <w:highlight w:val="none"/>
        </w:rPr>
      </w:pPr>
      <w:r>
        <w:rPr>
          <w:rFonts w:hint="eastAsia" w:ascii="仿宋_GB2312" w:hAnsi="仿宋_GB2312" w:eastAsia="仿宋_GB2312" w:cs="仿宋_GB2312"/>
          <w:b/>
          <w:bCs/>
          <w:color w:val="auto"/>
          <w:sz w:val="32"/>
          <w:szCs w:val="32"/>
          <w:highlight w:val="none"/>
        </w:rPr>
        <w:t>广泛开展全民健身活动。</w:t>
      </w:r>
      <w:r>
        <w:rPr>
          <w:rFonts w:hint="eastAsia" w:ascii="仿宋_GB2312" w:hAnsi="仿宋_GB2312" w:eastAsia="仿宋_GB2312" w:cs="仿宋_GB2312"/>
          <w:color w:val="auto"/>
          <w:sz w:val="32"/>
          <w:szCs w:val="32"/>
          <w:highlight w:val="none"/>
        </w:rPr>
        <w:t>完善全民健身公共服务体系，推进“15分钟健身圈”提质增效，开展健身设施强基础、提质量、优服务、增效益四大行动，加快建设全民健身中心，扩大健身设施增量、提升健身设施质量、用好健身设施存量，实现健身设施“城乡均衡、智慧便捷”。合理利用口袋公园、拆迁开发地块“金角银边”、废旧厂房等改造项目，补齐全民健身场地设施短板。加强科学健身指导，建立“线上+线下”全民健身信息服务平台，打造有场地服务、有健身组织、有赛事活动、有健身指导、有传播推广的“五有阵地”。</w:t>
      </w:r>
    </w:p>
    <w:p w14:paraId="5D8080DC">
      <w:pPr>
        <w:pStyle w:val="6"/>
        <w:pageBreakBefore w:val="0"/>
        <w:kinsoku/>
        <w:wordWrap/>
        <w:bidi w:val="0"/>
        <w:spacing w:line="600" w:lineRule="exact"/>
        <w:textAlignment w:val="auto"/>
        <w:rPr>
          <w:rFonts w:hint="eastAsia" w:cs="Times New Roman"/>
          <w:color w:val="auto"/>
          <w:highlight w:val="none"/>
        </w:rPr>
      </w:pPr>
      <w:bookmarkStart w:id="59" w:name="_Toc17441"/>
      <w:r>
        <w:rPr>
          <w:rFonts w:hint="eastAsia" w:cs="Times New Roman"/>
          <w:color w:val="auto"/>
          <w:highlight w:val="none"/>
        </w:rPr>
        <w:t>第五节 促进人口高质量发展</w:t>
      </w:r>
      <w:bookmarkEnd w:id="59"/>
    </w:p>
    <w:p w14:paraId="25A73E97">
      <w:pPr>
        <w:pageBreakBefore w:val="0"/>
        <w:kinsoku/>
        <w:wordWrap/>
        <w:bidi w:val="0"/>
        <w:spacing w:line="600" w:lineRule="exact"/>
        <w:ind w:firstLine="643" w:firstLineChars="200"/>
        <w:textAlignment w:val="auto"/>
        <w:rPr>
          <w:rFonts w:ascii="Times New Roman" w:hAnsi="Times New Roman" w:eastAsia="仿宋_GB2312"/>
          <w:color w:val="auto"/>
          <w:sz w:val="32"/>
          <w:szCs w:val="32"/>
          <w:highlight w:val="none"/>
        </w:rPr>
      </w:pPr>
      <w:r>
        <w:rPr>
          <w:rFonts w:ascii="Times New Roman" w:hAnsi="Times New Roman" w:eastAsia="仿宋_GB2312"/>
          <w:b/>
          <w:bCs/>
          <w:color w:val="auto"/>
          <w:sz w:val="32"/>
          <w:szCs w:val="32"/>
          <w:highlight w:val="none"/>
        </w:rPr>
        <w:t>健全养老服务</w:t>
      </w:r>
      <w:r>
        <w:rPr>
          <w:rFonts w:hint="eastAsia" w:ascii="Times New Roman" w:hAnsi="Times New Roman" w:eastAsia="仿宋_GB2312"/>
          <w:b/>
          <w:bCs/>
          <w:color w:val="auto"/>
          <w:sz w:val="32"/>
          <w:szCs w:val="32"/>
          <w:highlight w:val="none"/>
        </w:rPr>
        <w:t>体系</w:t>
      </w:r>
      <w:r>
        <w:rPr>
          <w:rFonts w:ascii="Times New Roman" w:hAnsi="Times New Roman" w:eastAsia="仿宋_GB2312"/>
          <w:b/>
          <w:bCs/>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加快健全养老服务网络，打造“区级平台+镇街中心+村居站点”的三级服务网络，优化居家为基础、社区为依托、机构为专业支撑、医养相结合的养老服务供给格局，打通养老服务“最后一公里”，擦亮“颐居台城”养老服务品牌。支持鼓励优质社会组织和养老服务企业建设运营全区养老设施，深入实施“公办民营”改革，加快推进台城怡养院、三级养老服务体系提升等重点项目。建设区级智慧养老综合服务平台，提升养老领域日常监管、数据分析、服务智慧化、规范化、便捷化水平。完善村（社区）养老服务设施站点，发挥镇（街）区域养老服务中心带动作用，采取“中心＋站点”等方式，发展嵌入式社区养老服务设施、互助性养老服务站点。突出社区日间照料中心公益性质，提升助老服务质量，为老年人提供生活照护、健康管理、娱乐休闲、心理慰藉等综合性服务。因地制宜扩大农村养老服务供给，大力推进互助性养老服务，鼓励农村集体经济组织发展养老服务，健全农村留守、高龄、失能、残疾等老年人探访关爱和应急救援服务机制。健全养老服务综合监管、智慧监管、属地监管相融合的监管机制，定期开展服务质量评估，推动养老机构管理水平和服务质量双提升。开展“两院一体”医养结合机构提升行动，统筹区域内医疗卫生和养老资源，推进镇（街）卫生院（社区卫生服务中心）与敬老院（养老机构）融合发展，实现医疗与养老资源有效对接、服务全面衔接，为老年人提供诊疗治疗、康复护理、生活照料、安宁疗护等一体化医养服务。</w:t>
      </w:r>
    </w:p>
    <w:p w14:paraId="163E78E0">
      <w:pPr>
        <w:pageBreakBefore w:val="0"/>
        <w:kinsoku/>
        <w:wordWrap/>
        <w:bidi w:val="0"/>
        <w:spacing w:line="600" w:lineRule="exact"/>
        <w:ind w:firstLine="643" w:firstLineChars="200"/>
        <w:textAlignment w:val="auto"/>
        <w:rPr>
          <w:rFonts w:hint="eastAsia" w:ascii="Times New Roman" w:hAnsi="Times New Roman" w:eastAsia="仿宋_GB2312"/>
          <w:b w:val="0"/>
          <w:bCs w:val="0"/>
          <w:color w:val="auto"/>
          <w:sz w:val="32"/>
          <w:szCs w:val="32"/>
          <w:highlight w:val="none"/>
        </w:rPr>
      </w:pPr>
      <w:r>
        <w:rPr>
          <w:rFonts w:hint="eastAsia" w:ascii="仿宋_GB2312" w:hAnsi="仿宋_GB2312" w:eastAsia="仿宋_GB2312" w:cs="仿宋_GB2312"/>
          <w:b/>
          <w:bCs/>
          <w:color w:val="auto"/>
          <w:sz w:val="32"/>
          <w:szCs w:val="32"/>
          <w:highlight w:val="none"/>
        </w:rPr>
        <w:t>加快发展银发经济。</w:t>
      </w:r>
      <w:r>
        <w:rPr>
          <w:rFonts w:hint="eastAsia" w:ascii="仿宋_GB2312" w:hAnsi="仿宋_GB2312" w:eastAsia="仿宋_GB2312" w:cs="仿宋_GB2312"/>
          <w:b w:val="0"/>
          <w:bCs w:val="0"/>
          <w:color w:val="auto"/>
          <w:sz w:val="32"/>
          <w:szCs w:val="32"/>
          <w:highlight w:val="none"/>
        </w:rPr>
        <w:t>实施“养老+行业”专项行动，培育适老新产品新业态，开发具有老年特色的产品和生活用品，推动养老服务与文化、旅游、餐饮等行业深度融合发展。依托纺织产业，加强服装面料、款式结构、辅助装置等适老化研发设计，开发功能性老年服饰、鞋帽产品。推进景区适老化改造，推出老年旅游发展典型案例。依托古城溢出效应和区内优质医疗资源，高标准建设一批康养项目，吸引庞大旅居养老群体来台养生度假，打造辐射鲁南苏北旅居养老目的地。拓展居家助老服务，鼓励养老机构、家政企业、物业服务企业开展居家养老上门服务，支持社区助浴点、流动助浴车、入户助浴等多种业态发展，培育发展专业助老陪护机构。丰富老年文体服务，建好老年体育大学，推动面向社会开放办学。采取本土培育、外来引进等方式培育一批连锁化、品牌化、规模化养老服务企业和组织，增加普惠优质养老服务供给，有效激发银发消费潜力。因地制宜建设综合为老服务中心（老年活动中心），扩大老年人社会参与场地资源供给。</w:t>
      </w:r>
    </w:p>
    <w:p w14:paraId="55B52916">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olor w:val="auto"/>
          <w:sz w:val="32"/>
          <w:szCs w:val="32"/>
          <w:highlight w:val="none"/>
        </w:rPr>
      </w:pPr>
      <w:r>
        <w:rPr>
          <w:rFonts w:hint="eastAsia" w:ascii="Times New Roman" w:hAnsi="Times New Roman" w:eastAsia="仿宋_GB2312"/>
          <w:b/>
          <w:bCs/>
          <w:color w:val="auto"/>
          <w:sz w:val="32"/>
          <w:szCs w:val="32"/>
          <w:highlight w:val="none"/>
        </w:rPr>
        <w:t>建设生育友好型社会。</w:t>
      </w:r>
      <w:r>
        <w:rPr>
          <w:rFonts w:hint="eastAsia" w:ascii="Times New Roman" w:hAnsi="Times New Roman" w:eastAsia="仿宋_GB2312"/>
          <w:color w:val="auto"/>
          <w:sz w:val="32"/>
          <w:szCs w:val="32"/>
          <w:highlight w:val="none"/>
        </w:rPr>
        <w:t>贯彻落实国家人口政策，加强信息共享和人口监测，建立健全生育保险、生育休假、生育补贴等配套政策，有效降低生育、养育、教育成本，引导生育水平提升并稳定在适度区间。优化优生优育服务，加强辖区产科、儿科能力建设，依托妇幼保健机构设立“女性健康促进中心”，提高基本生育和儿童医疗公共服务水平。加强信息共享和人口监测，跟踪研判人口发展态势。积极构建新型婚育文化，大力倡导积极的婚恋观、生育观、家庭观，倡导尊重生育的社会价值，提倡适龄婚育、优生优育，鼓励夫妻共担育儿责任。推进婚俗改革和移风易俗，破除婚嫁大操大办、高额彩礼等陈规陋习，培育积极向上的婚俗文化。</w:t>
      </w:r>
    </w:p>
    <w:p w14:paraId="36333EC5">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扩大普惠托育服务供给。</w:t>
      </w:r>
      <w:r>
        <w:rPr>
          <w:rFonts w:hint="eastAsia" w:ascii="仿宋_GB2312" w:hAnsi="仿宋_GB2312" w:eastAsia="仿宋_GB2312" w:cs="仿宋_GB2312"/>
          <w:color w:val="auto"/>
          <w:sz w:val="32"/>
          <w:szCs w:val="32"/>
          <w:highlight w:val="none"/>
        </w:rPr>
        <w:t>推进托幼一体化，加强婴幼儿照护示范托育机构建设，鼓励支持有条件的幼儿园利用现有资源开设2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3岁婴幼儿托班，扩大托育服务供给。支持有条件的机关、企事业单位、社区通过公建民营、民办公助、购买服务等方式为在职职工、居民提供托育服务。推进完善社区托育点项目，扩大社区托育服务的受益面，满足多样化的托育服务需求。鼓励社会力量进入托育服务行业，构建主体多元、性质多样、服务灵活的托育服务体系。加大对社会力量依法举办非营利性托育机构的支持力度，引导其提供更多的普惠性托育服务。</w:t>
      </w:r>
      <w:r>
        <w:rPr>
          <w:rFonts w:ascii="仿宋_GB2312" w:hAnsi="仿宋_GB2312" w:eastAsia="仿宋_GB2312" w:cs="仿宋_GB2312"/>
          <w:color w:val="auto"/>
          <w:sz w:val="32"/>
          <w:szCs w:val="32"/>
          <w:highlight w:val="none"/>
        </w:rPr>
        <w:t>以“一米高度看城市”的视角，</w:t>
      </w:r>
      <w:r>
        <w:rPr>
          <w:rFonts w:hint="eastAsia" w:ascii="仿宋_GB2312" w:hAnsi="仿宋_GB2312" w:eastAsia="仿宋_GB2312" w:cs="仿宋_GB2312"/>
          <w:color w:val="auto"/>
          <w:sz w:val="32"/>
          <w:szCs w:val="32"/>
          <w:highlight w:val="none"/>
        </w:rPr>
        <w:t>推进城市公共空间适儿化改造，拓展儿童人文参与空间，建设儿童友好型城市。</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036D3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296" w:type="dxa"/>
            <w:noWrap w:val="0"/>
            <w:vAlign w:val="center"/>
          </w:tcPr>
          <w:p w14:paraId="0AA1B622">
            <w:pPr>
              <w:jc w:val="center"/>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专栏</w:t>
            </w:r>
            <w:r>
              <w:rPr>
                <w:rFonts w:hint="eastAsia" w:ascii="黑体" w:hAnsi="黑体" w:eastAsia="黑体" w:cs="宋体"/>
                <w:bCs/>
                <w:color w:val="auto"/>
                <w:sz w:val="28"/>
                <w:szCs w:val="28"/>
                <w:highlight w:val="none"/>
                <w:lang w:val="en-US" w:eastAsia="zh-CN"/>
              </w:rPr>
              <w:t>9</w:t>
            </w:r>
            <w:r>
              <w:rPr>
                <w:rFonts w:hint="eastAsia" w:ascii="黑体" w:hAnsi="黑体" w:eastAsia="黑体" w:cs="宋体"/>
                <w:bCs/>
                <w:color w:val="auto"/>
                <w:sz w:val="28"/>
                <w:szCs w:val="28"/>
                <w:highlight w:val="none"/>
              </w:rPr>
              <w:t>：民生福祉重点项目</w:t>
            </w:r>
          </w:p>
        </w:tc>
      </w:tr>
      <w:tr w14:paraId="01083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noWrap w:val="0"/>
            <w:vAlign w:val="top"/>
          </w:tcPr>
          <w:p w14:paraId="349A95B1">
            <w:pPr>
              <w:keepNext w:val="0"/>
              <w:keepLines w:val="0"/>
              <w:pageBreakBefore w:val="0"/>
              <w:widowControl w:val="0"/>
              <w:kinsoku/>
              <w:wordWrap/>
              <w:overflowPunct/>
              <w:topLinePunct w:val="0"/>
              <w:autoSpaceDE/>
              <w:autoSpaceDN/>
              <w:bidi w:val="0"/>
              <w:adjustRightInd/>
              <w:snapToGrid/>
              <w:spacing w:line="600" w:lineRule="exact"/>
              <w:ind w:firstLine="562" w:firstLineChars="200"/>
              <w:textAlignment w:val="auto"/>
              <w:rPr>
                <w:rFonts w:ascii="仿宋_GB2312" w:hAnsi="宋体" w:eastAsia="仿宋_GB2312" w:cs="宋体"/>
                <w:bCs/>
                <w:color w:val="auto"/>
                <w:sz w:val="28"/>
                <w:szCs w:val="28"/>
                <w:highlight w:val="none"/>
              </w:rPr>
            </w:pPr>
            <w:r>
              <w:rPr>
                <w:rFonts w:hint="eastAsia" w:ascii="仿宋_GB2312" w:hAnsi="宋体" w:eastAsia="仿宋_GB2312" w:cs="宋体"/>
                <w:b/>
                <w:bCs w:val="0"/>
                <w:color w:val="auto"/>
                <w:sz w:val="28"/>
                <w:szCs w:val="28"/>
                <w:highlight w:val="none"/>
              </w:rPr>
              <w:t>教育领域：</w:t>
            </w:r>
            <w:r>
              <w:rPr>
                <w:rFonts w:hint="eastAsia" w:ascii="仿宋_GB2312" w:hAnsi="宋体" w:eastAsia="仿宋_GB2312" w:cs="宋体"/>
                <w:bCs/>
                <w:color w:val="auto"/>
                <w:sz w:val="28"/>
                <w:szCs w:val="28"/>
                <w:highlight w:val="none"/>
              </w:rPr>
              <w:t>（1）涧头集镇中心小学教学楼工程项目。</w:t>
            </w:r>
          </w:p>
          <w:p w14:paraId="0429DC98">
            <w:pPr>
              <w:keepNext w:val="0"/>
              <w:keepLines w:val="0"/>
              <w:pageBreakBefore w:val="0"/>
              <w:widowControl w:val="0"/>
              <w:kinsoku/>
              <w:wordWrap/>
              <w:overflowPunct/>
              <w:topLinePunct w:val="0"/>
              <w:autoSpaceDE/>
              <w:autoSpaceDN/>
              <w:bidi w:val="0"/>
              <w:adjustRightInd/>
              <w:snapToGrid/>
              <w:spacing w:line="600" w:lineRule="exact"/>
              <w:ind w:firstLine="562" w:firstLineChars="200"/>
              <w:textAlignment w:val="auto"/>
              <w:rPr>
                <w:rFonts w:hint="eastAsia" w:ascii="仿宋_GB2312" w:hAnsi="宋体" w:eastAsia="仿宋_GB2312" w:cs="宋体"/>
                <w:bCs/>
                <w:color w:val="auto"/>
                <w:sz w:val="28"/>
                <w:szCs w:val="28"/>
                <w:highlight w:val="none"/>
              </w:rPr>
            </w:pPr>
            <w:r>
              <w:rPr>
                <w:rFonts w:hint="eastAsia" w:ascii="仿宋_GB2312" w:hAnsi="宋体" w:eastAsia="仿宋_GB2312" w:cs="宋体"/>
                <w:b/>
                <w:bCs w:val="0"/>
                <w:color w:val="auto"/>
                <w:sz w:val="28"/>
                <w:szCs w:val="28"/>
                <w:highlight w:val="none"/>
              </w:rPr>
              <w:t>医疗领域：</w:t>
            </w:r>
            <w:r>
              <w:rPr>
                <w:rFonts w:hint="eastAsia" w:ascii="仿宋_GB2312" w:hAnsi="宋体" w:eastAsia="仿宋_GB2312" w:cs="宋体"/>
                <w:bCs/>
                <w:color w:val="auto"/>
                <w:sz w:val="28"/>
                <w:szCs w:val="28"/>
                <w:highlight w:val="none"/>
              </w:rPr>
              <w:t>（1）区人民医院妇幼中心综合楼项目（2）第二人民医院县域医疗服务次中心能力提升项目</w:t>
            </w:r>
            <w:r>
              <w:rPr>
                <w:rFonts w:hint="eastAsia" w:ascii="仿宋_GB2312" w:hAnsi="宋体" w:eastAsia="仿宋_GB2312" w:cs="宋体"/>
                <w:bCs/>
                <w:color w:val="auto"/>
                <w:sz w:val="28"/>
                <w:szCs w:val="28"/>
                <w:highlight w:val="none"/>
                <w:lang w:eastAsia="zh-CN"/>
              </w:rPr>
              <w:t>（</w:t>
            </w:r>
            <w:r>
              <w:rPr>
                <w:rFonts w:hint="eastAsia" w:ascii="仿宋_GB2312" w:hAnsi="宋体" w:eastAsia="仿宋_GB2312" w:cs="宋体"/>
                <w:bCs/>
                <w:color w:val="auto"/>
                <w:sz w:val="28"/>
                <w:szCs w:val="28"/>
                <w:highlight w:val="none"/>
                <w:lang w:val="en-US" w:eastAsia="zh-CN"/>
              </w:rPr>
              <w:t>3</w:t>
            </w:r>
            <w:r>
              <w:rPr>
                <w:rFonts w:hint="eastAsia" w:ascii="仿宋_GB2312" w:hAnsi="宋体" w:eastAsia="仿宋_GB2312" w:cs="宋体"/>
                <w:bCs/>
                <w:color w:val="auto"/>
                <w:sz w:val="28"/>
                <w:szCs w:val="28"/>
                <w:highlight w:val="none"/>
                <w:lang w:eastAsia="zh-CN"/>
              </w:rPr>
              <w:t>）</w:t>
            </w:r>
            <w:r>
              <w:rPr>
                <w:rFonts w:hint="eastAsia" w:ascii="仿宋_GB2312" w:hAnsi="宋体" w:eastAsia="仿宋_GB2312" w:cs="宋体"/>
                <w:bCs/>
                <w:color w:val="auto"/>
                <w:sz w:val="28"/>
                <w:szCs w:val="28"/>
                <w:highlight w:val="none"/>
                <w:lang w:val="en-US" w:eastAsia="zh-CN"/>
              </w:rPr>
              <w:t>台儿庄人民医院妇幼中心暨区域检验中心</w:t>
            </w:r>
            <w:r>
              <w:rPr>
                <w:rFonts w:hint="eastAsia" w:ascii="仿宋_GB2312" w:hAnsi="宋体" w:eastAsia="仿宋_GB2312" w:cs="宋体"/>
                <w:bCs/>
                <w:color w:val="auto"/>
                <w:sz w:val="28"/>
                <w:szCs w:val="28"/>
                <w:highlight w:val="none"/>
              </w:rPr>
              <w:t>（</w:t>
            </w:r>
            <w:r>
              <w:rPr>
                <w:rFonts w:hint="eastAsia" w:ascii="仿宋_GB2312" w:hAnsi="宋体" w:eastAsia="仿宋_GB2312" w:cs="宋体"/>
                <w:bCs/>
                <w:color w:val="auto"/>
                <w:sz w:val="28"/>
                <w:szCs w:val="28"/>
                <w:highlight w:val="none"/>
                <w:lang w:val="en-US" w:eastAsia="zh-CN"/>
              </w:rPr>
              <w:t>4</w:t>
            </w:r>
            <w:r>
              <w:rPr>
                <w:rFonts w:hint="eastAsia" w:ascii="仿宋_GB2312" w:hAnsi="宋体" w:eastAsia="仿宋_GB2312" w:cs="宋体"/>
                <w:bCs/>
                <w:color w:val="auto"/>
                <w:sz w:val="28"/>
                <w:szCs w:val="28"/>
                <w:highlight w:val="none"/>
              </w:rPr>
              <w:t>）区域一体化健康管理信息平台建设项目。</w:t>
            </w:r>
          </w:p>
          <w:p w14:paraId="1BD2D250">
            <w:pPr>
              <w:keepNext w:val="0"/>
              <w:keepLines w:val="0"/>
              <w:pageBreakBefore w:val="0"/>
              <w:widowControl w:val="0"/>
              <w:kinsoku/>
              <w:wordWrap/>
              <w:overflowPunct/>
              <w:topLinePunct w:val="0"/>
              <w:autoSpaceDE/>
              <w:autoSpaceDN/>
              <w:bidi w:val="0"/>
              <w:adjustRightInd/>
              <w:snapToGrid/>
              <w:spacing w:line="600" w:lineRule="exact"/>
              <w:ind w:firstLine="562" w:firstLineChars="200"/>
              <w:textAlignment w:val="auto"/>
              <w:rPr>
                <w:rFonts w:ascii="仿宋_GB2312" w:hAnsi="宋体" w:eastAsia="仿宋_GB2312" w:cs="宋体"/>
                <w:bCs/>
                <w:color w:val="auto"/>
                <w:sz w:val="28"/>
                <w:szCs w:val="28"/>
                <w:highlight w:val="none"/>
              </w:rPr>
            </w:pPr>
            <w:r>
              <w:rPr>
                <w:rFonts w:hint="eastAsia" w:ascii="仿宋_GB2312" w:hAnsi="宋体" w:eastAsia="仿宋_GB2312" w:cs="宋体"/>
                <w:b/>
                <w:bCs w:val="0"/>
                <w:color w:val="auto"/>
                <w:sz w:val="28"/>
                <w:szCs w:val="28"/>
                <w:highlight w:val="none"/>
              </w:rPr>
              <w:t>养老服务：</w:t>
            </w:r>
            <w:r>
              <w:rPr>
                <w:rFonts w:hint="eastAsia" w:ascii="仿宋_GB2312" w:hAnsi="宋体" w:eastAsia="仿宋_GB2312" w:cs="宋体"/>
                <w:bCs/>
                <w:color w:val="auto"/>
                <w:sz w:val="28"/>
                <w:szCs w:val="28"/>
                <w:highlight w:val="none"/>
              </w:rPr>
              <w:t>（1）</w:t>
            </w:r>
            <w:r>
              <w:rPr>
                <w:rFonts w:hint="eastAsia" w:ascii="仿宋_GB2312" w:hAnsi="宋体" w:eastAsia="仿宋_GB2312" w:cs="宋体"/>
                <w:bCs/>
                <w:color w:val="auto"/>
                <w:sz w:val="28"/>
                <w:szCs w:val="28"/>
                <w:highlight w:val="none"/>
                <w:lang w:val="en-US" w:eastAsia="zh-CN"/>
              </w:rPr>
              <w:t>台城怡养院</w:t>
            </w:r>
            <w:r>
              <w:rPr>
                <w:rFonts w:hint="eastAsia" w:ascii="仿宋_GB2312" w:hAnsi="宋体" w:eastAsia="仿宋_GB2312" w:cs="宋体"/>
                <w:bCs/>
                <w:color w:val="auto"/>
                <w:sz w:val="28"/>
                <w:szCs w:val="28"/>
                <w:highlight w:val="none"/>
              </w:rPr>
              <w:t>（2）台儿庄区三级养老服务体系提升项目。</w:t>
            </w:r>
            <w:r>
              <w:rPr>
                <w:rFonts w:hint="eastAsia" w:ascii="仿宋_GB2312" w:hAnsi="宋体" w:eastAsia="仿宋_GB2312" w:cs="宋体"/>
                <w:bCs/>
                <w:color w:val="auto"/>
                <w:sz w:val="28"/>
                <w:szCs w:val="28"/>
                <w:highlight w:val="none"/>
                <w:lang w:eastAsia="zh-CN"/>
              </w:rPr>
              <w:t>（</w:t>
            </w:r>
            <w:r>
              <w:rPr>
                <w:rFonts w:hint="eastAsia" w:ascii="仿宋_GB2312" w:hAnsi="宋体" w:eastAsia="仿宋_GB2312" w:cs="宋体"/>
                <w:bCs/>
                <w:color w:val="auto"/>
                <w:sz w:val="28"/>
                <w:szCs w:val="28"/>
                <w:highlight w:val="none"/>
                <w:lang w:val="en-US" w:eastAsia="zh-CN"/>
              </w:rPr>
              <w:t>3</w:t>
            </w:r>
            <w:r>
              <w:rPr>
                <w:rFonts w:hint="eastAsia" w:ascii="仿宋_GB2312" w:hAnsi="宋体" w:eastAsia="仿宋_GB2312" w:cs="宋体"/>
                <w:bCs/>
                <w:color w:val="auto"/>
                <w:sz w:val="28"/>
                <w:szCs w:val="28"/>
                <w:highlight w:val="none"/>
                <w:lang w:eastAsia="zh-CN"/>
              </w:rPr>
              <w:t>）“</w:t>
            </w:r>
            <w:r>
              <w:rPr>
                <w:rFonts w:hint="eastAsia" w:ascii="仿宋_GB2312" w:hAnsi="宋体" w:eastAsia="仿宋_GB2312" w:cs="宋体"/>
                <w:bCs/>
                <w:color w:val="auto"/>
                <w:sz w:val="28"/>
                <w:szCs w:val="28"/>
                <w:highlight w:val="none"/>
                <w:lang w:val="en-US" w:eastAsia="zh-CN"/>
              </w:rPr>
              <w:t>两院一体</w:t>
            </w:r>
            <w:r>
              <w:rPr>
                <w:rFonts w:hint="eastAsia" w:ascii="仿宋_GB2312" w:hAnsi="宋体" w:eastAsia="仿宋_GB2312" w:cs="宋体"/>
                <w:bCs/>
                <w:color w:val="auto"/>
                <w:sz w:val="28"/>
                <w:szCs w:val="28"/>
                <w:highlight w:val="none"/>
                <w:lang w:eastAsia="zh-CN"/>
              </w:rPr>
              <w:t>”</w:t>
            </w:r>
            <w:r>
              <w:rPr>
                <w:rFonts w:hint="eastAsia" w:ascii="仿宋_GB2312" w:hAnsi="宋体" w:eastAsia="仿宋_GB2312" w:cs="宋体"/>
                <w:bCs/>
                <w:color w:val="auto"/>
                <w:sz w:val="28"/>
                <w:szCs w:val="28"/>
                <w:highlight w:val="none"/>
                <w:lang w:val="en-US" w:eastAsia="zh-CN"/>
              </w:rPr>
              <w:t>医养结合机构提升项目。</w:t>
            </w:r>
          </w:p>
          <w:p w14:paraId="705053F5">
            <w:pPr>
              <w:keepNext w:val="0"/>
              <w:keepLines w:val="0"/>
              <w:pageBreakBefore w:val="0"/>
              <w:widowControl w:val="0"/>
              <w:kinsoku/>
              <w:wordWrap/>
              <w:overflowPunct/>
              <w:topLinePunct w:val="0"/>
              <w:autoSpaceDE/>
              <w:autoSpaceDN/>
              <w:bidi w:val="0"/>
              <w:adjustRightInd/>
              <w:snapToGrid/>
              <w:spacing w:line="600" w:lineRule="exact"/>
              <w:ind w:firstLine="562" w:firstLineChars="200"/>
              <w:textAlignment w:val="auto"/>
              <w:rPr>
                <w:rFonts w:hint="eastAsia" w:ascii="仿宋_GB2312" w:hAnsi="宋体" w:eastAsia="仿宋_GB2312" w:cs="宋体"/>
                <w:bCs/>
                <w:color w:val="auto"/>
                <w:sz w:val="28"/>
                <w:szCs w:val="28"/>
                <w:highlight w:val="none"/>
                <w:lang w:val="en-US" w:eastAsia="zh-CN"/>
              </w:rPr>
            </w:pPr>
            <w:r>
              <w:rPr>
                <w:rFonts w:hint="eastAsia" w:ascii="仿宋_GB2312" w:hAnsi="宋体" w:eastAsia="仿宋_GB2312" w:cs="宋体"/>
                <w:b/>
                <w:bCs w:val="0"/>
                <w:color w:val="auto"/>
                <w:sz w:val="28"/>
                <w:szCs w:val="28"/>
                <w:highlight w:val="none"/>
                <w:lang w:val="en-US" w:eastAsia="zh-CN"/>
              </w:rPr>
              <w:t>殡葬服务：</w:t>
            </w:r>
            <w:r>
              <w:rPr>
                <w:rFonts w:hint="eastAsia" w:ascii="仿宋_GB2312" w:hAnsi="宋体" w:eastAsia="仿宋_GB2312" w:cs="宋体"/>
                <w:bCs/>
                <w:color w:val="auto"/>
                <w:sz w:val="28"/>
                <w:szCs w:val="28"/>
                <w:highlight w:val="none"/>
                <w:lang w:val="en-US" w:eastAsia="zh-CN"/>
              </w:rPr>
              <w:t>（1）台儿庄区九星山公益性公墓（2）台儿庄区后于公益性公墓（3）马兰屯镇土楼公墓（4）黄林东公墓（5）思亲园公墓（6）涧头集镇新耿楼公墓（7）刘谢庄公墓（8）涧头集镇（贺窑）公益性公墓（9）台儿庄区6处镇（街）殡仪服务中心。</w:t>
            </w:r>
          </w:p>
          <w:p w14:paraId="2BD7B14D">
            <w:pPr>
              <w:keepNext w:val="0"/>
              <w:keepLines w:val="0"/>
              <w:pageBreakBefore w:val="0"/>
              <w:widowControl w:val="0"/>
              <w:kinsoku/>
              <w:wordWrap/>
              <w:overflowPunct/>
              <w:topLinePunct w:val="0"/>
              <w:autoSpaceDE/>
              <w:autoSpaceDN/>
              <w:bidi w:val="0"/>
              <w:adjustRightInd/>
              <w:snapToGrid/>
              <w:spacing w:line="600" w:lineRule="exact"/>
              <w:ind w:firstLine="562" w:firstLineChars="200"/>
              <w:textAlignment w:val="auto"/>
              <w:rPr>
                <w:rFonts w:hint="default" w:ascii="仿宋_GB2312" w:hAnsi="宋体" w:eastAsia="仿宋_GB2312" w:cs="宋体"/>
                <w:bCs/>
                <w:color w:val="auto"/>
                <w:sz w:val="28"/>
                <w:szCs w:val="28"/>
                <w:highlight w:val="none"/>
                <w:lang w:val="en-US" w:eastAsia="zh-CN"/>
              </w:rPr>
            </w:pPr>
            <w:r>
              <w:rPr>
                <w:rFonts w:hint="eastAsia" w:ascii="仿宋_GB2312" w:hAnsi="宋体" w:eastAsia="仿宋_GB2312" w:cs="宋体"/>
                <w:b/>
                <w:bCs w:val="0"/>
                <w:color w:val="auto"/>
                <w:sz w:val="28"/>
                <w:szCs w:val="28"/>
                <w:highlight w:val="none"/>
                <w:lang w:val="en-US" w:eastAsia="zh-CN"/>
              </w:rPr>
              <w:t>儿童福利服务：</w:t>
            </w:r>
            <w:r>
              <w:rPr>
                <w:rFonts w:hint="eastAsia" w:ascii="仿宋_GB2312" w:hAnsi="宋体" w:eastAsia="仿宋_GB2312" w:cs="宋体"/>
                <w:bCs/>
                <w:color w:val="auto"/>
                <w:sz w:val="28"/>
                <w:szCs w:val="28"/>
                <w:highlight w:val="none"/>
                <w:lang w:val="en-US" w:eastAsia="zh-CN"/>
              </w:rPr>
              <w:t>（1）台儿庄区儿童福利中心。</w:t>
            </w:r>
          </w:p>
          <w:p w14:paraId="081C3F37">
            <w:pPr>
              <w:keepNext w:val="0"/>
              <w:keepLines w:val="0"/>
              <w:pageBreakBefore w:val="0"/>
              <w:widowControl w:val="0"/>
              <w:kinsoku/>
              <w:wordWrap/>
              <w:overflowPunct/>
              <w:topLinePunct w:val="0"/>
              <w:autoSpaceDE/>
              <w:autoSpaceDN/>
              <w:bidi w:val="0"/>
              <w:adjustRightInd/>
              <w:snapToGrid/>
              <w:spacing w:line="600" w:lineRule="exact"/>
              <w:ind w:firstLine="562" w:firstLineChars="200"/>
              <w:textAlignment w:val="auto"/>
              <w:rPr>
                <w:rFonts w:hint="eastAsia" w:ascii="仿宋_GB2312" w:hAnsi="宋体" w:eastAsia="仿宋_GB2312" w:cs="宋体"/>
                <w:bCs/>
                <w:color w:val="auto"/>
                <w:sz w:val="28"/>
                <w:szCs w:val="28"/>
                <w:highlight w:val="none"/>
                <w:lang w:eastAsia="zh-CN"/>
              </w:rPr>
            </w:pPr>
            <w:r>
              <w:rPr>
                <w:rFonts w:hint="eastAsia" w:ascii="仿宋_GB2312" w:hAnsi="宋体" w:eastAsia="仿宋_GB2312" w:cs="宋体"/>
                <w:b/>
                <w:bCs w:val="0"/>
                <w:color w:val="auto"/>
                <w:sz w:val="28"/>
                <w:szCs w:val="28"/>
                <w:highlight w:val="none"/>
              </w:rPr>
              <w:t>托育服务：</w:t>
            </w:r>
            <w:r>
              <w:rPr>
                <w:rFonts w:hint="eastAsia" w:ascii="仿宋_GB2312" w:hAnsi="宋体" w:eastAsia="仿宋_GB2312" w:cs="宋体"/>
                <w:bCs/>
                <w:color w:val="auto"/>
                <w:sz w:val="28"/>
                <w:szCs w:val="28"/>
                <w:highlight w:val="none"/>
              </w:rPr>
              <w:t>（1）社区嵌入式托育设施建设项目</w:t>
            </w:r>
            <w:r>
              <w:rPr>
                <w:rFonts w:hint="eastAsia" w:ascii="仿宋_GB2312" w:hAnsi="宋体" w:eastAsia="仿宋_GB2312" w:cs="宋体"/>
                <w:bCs/>
                <w:color w:val="auto"/>
                <w:sz w:val="28"/>
                <w:szCs w:val="28"/>
                <w:highlight w:val="none"/>
                <w:lang w:eastAsia="zh-CN"/>
              </w:rPr>
              <w:t>。</w:t>
            </w:r>
          </w:p>
        </w:tc>
      </w:tr>
    </w:tbl>
    <w:p w14:paraId="5A1A1C6D">
      <w:pPr>
        <w:pStyle w:val="12"/>
        <w:adjustRightInd w:val="0"/>
        <w:snapToGrid w:val="0"/>
        <w:spacing w:line="600" w:lineRule="exact"/>
        <w:ind w:firstLine="640" w:firstLineChars="200"/>
        <w:rPr>
          <w:rFonts w:hint="eastAsia" w:ascii="仿宋_GB2312" w:hAnsi="仿宋_GB2312" w:eastAsia="仿宋_GB2312" w:cs="仿宋_GB2312"/>
          <w:color w:val="auto"/>
          <w:sz w:val="32"/>
          <w:szCs w:val="32"/>
          <w:highlight w:val="none"/>
        </w:rPr>
      </w:pPr>
    </w:p>
    <w:p w14:paraId="0F7077AA">
      <w:pPr>
        <w:pStyle w:val="5"/>
        <w:adjustRightInd w:val="0"/>
        <w:snapToGrid w:val="0"/>
        <w:spacing w:before="240" w:after="240" w:line="600" w:lineRule="exact"/>
        <w:jc w:val="center"/>
        <w:rPr>
          <w:rFonts w:hint="eastAsia" w:ascii="黑体" w:hAnsi="黑体" w:eastAsia="黑体"/>
          <w:b w:val="0"/>
          <w:bCs w:val="0"/>
          <w:color w:val="auto"/>
          <w:sz w:val="32"/>
          <w:szCs w:val="32"/>
          <w:highlight w:val="none"/>
        </w:rPr>
        <w:sectPr>
          <w:footnotePr>
            <w:numFmt w:val="decimalEnclosedCircleChinese"/>
            <w:numRestart w:val="eachPage"/>
          </w:footnotePr>
          <w:pgSz w:w="11906" w:h="16838"/>
          <w:pgMar w:top="1984" w:right="1587" w:bottom="1701" w:left="1587" w:header="851" w:footer="1134" w:gutter="0"/>
          <w:pgNumType w:fmt="numberInDash"/>
          <w:cols w:space="720" w:num="1"/>
          <w:docGrid w:type="lines" w:linePitch="312" w:charSpace="0"/>
        </w:sectPr>
      </w:pPr>
    </w:p>
    <w:p w14:paraId="16350C48">
      <w:pPr>
        <w:pStyle w:val="5"/>
        <w:pageBreakBefore w:val="0"/>
        <w:widowControl w:val="0"/>
        <w:kinsoku/>
        <w:wordWrap/>
        <w:overflowPunct/>
        <w:topLinePunct w:val="0"/>
        <w:autoSpaceDE/>
        <w:autoSpaceDN/>
        <w:bidi w:val="0"/>
        <w:adjustRightInd w:val="0"/>
        <w:snapToGrid w:val="0"/>
        <w:spacing w:before="240" w:after="240" w:line="600" w:lineRule="exact"/>
        <w:jc w:val="center"/>
        <w:textAlignment w:val="auto"/>
        <w:rPr>
          <w:rFonts w:hint="eastAsia" w:ascii="黑体" w:hAnsi="黑体" w:eastAsia="黑体"/>
          <w:b w:val="0"/>
          <w:bCs w:val="0"/>
          <w:color w:val="auto"/>
          <w:sz w:val="32"/>
          <w:szCs w:val="32"/>
          <w:highlight w:val="none"/>
        </w:rPr>
      </w:pPr>
      <w:bookmarkStart w:id="60" w:name="_Toc13957"/>
      <w:r>
        <w:rPr>
          <w:rFonts w:hint="eastAsia" w:ascii="黑体" w:hAnsi="黑体" w:eastAsia="黑体"/>
          <w:b w:val="0"/>
          <w:bCs w:val="0"/>
          <w:color w:val="auto"/>
          <w:sz w:val="32"/>
          <w:szCs w:val="32"/>
          <w:highlight w:val="none"/>
        </w:rPr>
        <w:t>第十章 突出绿色低碳转型，高水平共建美丽台儿庄</w:t>
      </w:r>
      <w:bookmarkEnd w:id="60"/>
    </w:p>
    <w:p w14:paraId="35A91E0C">
      <w:pPr>
        <w:pStyle w:val="12"/>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Times New Roman" w:eastAsia="仿宋_GB2312"/>
          <w:color w:val="auto"/>
          <w:sz w:val="32"/>
          <w:szCs w:val="32"/>
          <w:highlight w:val="none"/>
        </w:rPr>
      </w:pPr>
      <w:r>
        <w:rPr>
          <w:rFonts w:hint="eastAsia" w:ascii="仿宋_GB2312" w:hAnsi="Times New Roman" w:eastAsia="仿宋_GB2312"/>
          <w:color w:val="auto"/>
          <w:sz w:val="32"/>
          <w:szCs w:val="32"/>
          <w:highlight w:val="none"/>
        </w:rPr>
        <w:t>深入贯彻习近平生态文明思想，践行绿水青山就是金山银山理念，统筹山水林田湖草沙一体化保护和系统治理，协同推进降碳、减污、扩绿、增长，加紧经济社会发展全面绿色转型，擦亮跨越</w:t>
      </w:r>
      <w:r>
        <w:rPr>
          <w:rFonts w:hint="eastAsia" w:ascii="仿宋_GB2312" w:hAnsi="Times New Roman" w:eastAsia="仿宋_GB2312"/>
          <w:color w:val="auto"/>
          <w:sz w:val="32"/>
          <w:szCs w:val="32"/>
          <w:highlight w:val="none"/>
          <w:lang w:val="en-US" w:eastAsia="zh-CN"/>
        </w:rPr>
        <w:t>发展</w:t>
      </w:r>
      <w:r>
        <w:rPr>
          <w:rFonts w:hint="eastAsia" w:ascii="仿宋_GB2312" w:hAnsi="Times New Roman" w:eastAsia="仿宋_GB2312"/>
          <w:color w:val="auto"/>
          <w:sz w:val="32"/>
          <w:szCs w:val="32"/>
          <w:highlight w:val="none"/>
        </w:rPr>
        <w:t>的最美底色，争创</w:t>
      </w:r>
      <w:r>
        <w:rPr>
          <w:rFonts w:hint="eastAsia" w:ascii="Times New Roman" w:hAnsi="Times New Roman" w:eastAsia="仿宋_GB2312"/>
          <w:color w:val="auto"/>
          <w:sz w:val="32"/>
          <w:szCs w:val="32"/>
          <w:highlight w:val="none"/>
        </w:rPr>
        <w:t>国家“两山”实践创新基地</w:t>
      </w:r>
      <w:r>
        <w:rPr>
          <w:rFonts w:hint="eastAsia" w:ascii="仿宋_GB2312" w:hAnsi="Times New Roman" w:eastAsia="仿宋_GB2312"/>
          <w:color w:val="auto"/>
          <w:sz w:val="32"/>
          <w:szCs w:val="32"/>
          <w:highlight w:val="none"/>
        </w:rPr>
        <w:t>。到2030年，</w:t>
      </w:r>
      <w:r>
        <w:rPr>
          <w:rFonts w:hint="eastAsia" w:ascii="Times New Roman" w:hAnsi="Times New Roman" w:eastAsia="仿宋_GB2312"/>
          <w:color w:val="auto"/>
          <w:sz w:val="32"/>
          <w:szCs w:val="32"/>
          <w:highlight w:val="none"/>
        </w:rPr>
        <w:t>重点领域绿色转型取得积极进展，绿色生产生活方式基本形成。</w:t>
      </w:r>
    </w:p>
    <w:p w14:paraId="78F055CB">
      <w:pPr>
        <w:pStyle w:val="6"/>
        <w:pageBreakBefore w:val="0"/>
        <w:widowControl w:val="0"/>
        <w:kinsoku/>
        <w:wordWrap/>
        <w:overflowPunct/>
        <w:topLinePunct w:val="0"/>
        <w:autoSpaceDE/>
        <w:autoSpaceDN/>
        <w:bidi w:val="0"/>
        <w:spacing w:line="600" w:lineRule="exact"/>
        <w:textAlignment w:val="auto"/>
        <w:rPr>
          <w:rFonts w:hint="eastAsia"/>
          <w:color w:val="auto"/>
          <w:highlight w:val="none"/>
        </w:rPr>
      </w:pPr>
      <w:bookmarkStart w:id="61" w:name="_Toc5402"/>
      <w:r>
        <w:rPr>
          <w:rFonts w:hint="eastAsia"/>
          <w:color w:val="auto"/>
          <w:highlight w:val="none"/>
        </w:rPr>
        <w:t>第一节 持续推进污染防治攻坚</w:t>
      </w:r>
      <w:bookmarkEnd w:id="61"/>
    </w:p>
    <w:p w14:paraId="2A0C7FC1">
      <w:pPr>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highlight w:val="none"/>
        </w:rPr>
      </w:pPr>
      <w:r>
        <w:rPr>
          <w:rFonts w:hint="eastAsia" w:ascii="仿宋_GB2312" w:hAnsi="仿宋_GB2312" w:eastAsia="仿宋_GB2312" w:cs="仿宋_GB2312"/>
          <w:b/>
          <w:bCs/>
          <w:color w:val="auto"/>
          <w:sz w:val="32"/>
          <w:szCs w:val="32"/>
          <w:highlight w:val="none"/>
        </w:rPr>
        <w:t>持续改善环境空气质量</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highlight w:val="none"/>
        </w:rPr>
        <w:t>深入打好蓝天保卫战，以降低PM2.5浓度为主线，强化PM2.5和臭氧协同控制，推进产业结构绿色升级和区域协同治理</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highlight w:val="none"/>
        </w:rPr>
        <w:t>持续提高</w:t>
      </w:r>
      <w:r>
        <w:rPr>
          <w:rFonts w:hint="eastAsia" w:ascii="仿宋_GB2312" w:hAnsi="仿宋_GB2312" w:eastAsia="仿宋_GB2312" w:cs="仿宋_GB2312"/>
          <w:bCs/>
          <w:color w:val="auto"/>
          <w:sz w:val="32"/>
          <w:szCs w:val="32"/>
          <w:highlight w:val="none"/>
        </w:rPr>
        <w:t>大气污染</w:t>
      </w:r>
      <w:r>
        <w:rPr>
          <w:rFonts w:hint="eastAsia" w:ascii="仿宋_GB2312" w:hAnsi="仿宋_GB2312" w:eastAsia="仿宋_GB2312" w:cs="仿宋_GB2312"/>
          <w:color w:val="auto"/>
          <w:sz w:val="32"/>
          <w:highlight w:val="none"/>
        </w:rPr>
        <w:t>治理水平，全力完成市级下达的空气质量改善目标。实施水泥、铸造行业超低排放改造，推进</w:t>
      </w:r>
      <w:r>
        <w:rPr>
          <w:rFonts w:hint="eastAsia" w:ascii="仿宋_GB2312" w:hAnsi="仿宋_GB2312" w:eastAsia="仿宋_GB2312" w:cs="仿宋_GB2312"/>
          <w:color w:val="auto"/>
          <w:sz w:val="32"/>
          <w:szCs w:val="32"/>
          <w:highlight w:val="none"/>
        </w:rPr>
        <w:t>人造石英石、工业涂装、商品混凝土等</w:t>
      </w:r>
      <w:r>
        <w:rPr>
          <w:rFonts w:hint="eastAsia" w:ascii="仿宋_GB2312" w:hAnsi="仿宋_GB2312" w:eastAsia="仿宋_GB2312" w:cs="仿宋_GB2312"/>
          <w:color w:val="auto"/>
          <w:sz w:val="32"/>
          <w:szCs w:val="32"/>
          <w:highlight w:val="none"/>
          <w:lang w:val="en-US" w:eastAsia="zh-CN"/>
        </w:rPr>
        <w:t>行业</w:t>
      </w:r>
      <w:r>
        <w:rPr>
          <w:rFonts w:hint="eastAsia" w:ascii="仿宋_GB2312" w:hAnsi="仿宋_GB2312" w:eastAsia="仿宋_GB2312" w:cs="仿宋_GB2312"/>
          <w:color w:val="auto"/>
          <w:sz w:val="32"/>
          <w:szCs w:val="32"/>
          <w:highlight w:val="none"/>
        </w:rPr>
        <w:t>提升改造，加强燃煤工业炉窑退出或非煤化改造，</w:t>
      </w:r>
      <w:r>
        <w:rPr>
          <w:rFonts w:hint="eastAsia" w:ascii="仿宋_GB2312" w:hAnsi="仿宋_GB2312" w:eastAsia="仿宋_GB2312" w:cs="仿宋_GB2312"/>
          <w:color w:val="auto"/>
          <w:sz w:val="32"/>
          <w:highlight w:val="none"/>
        </w:rPr>
        <w:t>加快</w:t>
      </w:r>
      <w:r>
        <w:rPr>
          <w:rFonts w:hint="eastAsia" w:ascii="仿宋_GB2312" w:hAnsi="仿宋_GB2312" w:eastAsia="仿宋_GB2312" w:cs="仿宋_GB2312"/>
          <w:color w:val="auto"/>
          <w:sz w:val="32"/>
          <w:szCs w:val="32"/>
          <w:highlight w:val="none"/>
        </w:rPr>
        <w:t>落后产能淘汰和产能压减整合。扩大港口、电厂、水泥、粉磨站等行业新能源运输车辆规模，提升大宗货物清洁运输比例。</w:t>
      </w:r>
      <w:r>
        <w:rPr>
          <w:rFonts w:hint="eastAsia" w:ascii="仿宋_GB2312" w:hAnsi="仿宋_GB2312" w:eastAsia="仿宋_GB2312" w:cs="仿宋_GB2312"/>
          <w:color w:val="auto"/>
          <w:sz w:val="32"/>
          <w:highlight w:val="none"/>
        </w:rPr>
        <w:t>强化移动源、扬尘源精细化管控，</w:t>
      </w:r>
      <w:r>
        <w:rPr>
          <w:rFonts w:hint="eastAsia" w:ascii="仿宋_GB2312" w:hAnsi="仿宋_GB2312" w:eastAsia="仿宋_GB2312" w:cs="仿宋_GB2312"/>
          <w:color w:val="auto"/>
          <w:kern w:val="0"/>
          <w:sz w:val="32"/>
          <w:szCs w:val="32"/>
          <w:highlight w:val="none"/>
          <w:lang w:val="en-US" w:eastAsia="zh-CN" w:bidi="zh-CN"/>
        </w:rPr>
        <w:t>推进国四柴油货车和国二非道路移动机械淘汰</w:t>
      </w:r>
      <w:r>
        <w:rPr>
          <w:rFonts w:hint="eastAsia" w:ascii="仿宋_GB2312" w:hAnsi="仿宋_GB2312" w:eastAsia="仿宋_GB2312" w:cs="仿宋_GB2312"/>
          <w:color w:val="auto"/>
          <w:sz w:val="32"/>
          <w:highlight w:val="none"/>
        </w:rPr>
        <w:t>，加强</w:t>
      </w:r>
      <w:r>
        <w:rPr>
          <w:rFonts w:hint="eastAsia" w:ascii="仿宋_GB2312" w:hAnsi="仿宋_GB2312" w:eastAsia="仿宋_GB2312" w:cs="仿宋_GB2312"/>
          <w:color w:val="auto"/>
          <w:sz w:val="32"/>
          <w:szCs w:val="32"/>
          <w:highlight w:val="none"/>
        </w:rPr>
        <w:t>扬尘专项治理，</w:t>
      </w:r>
      <w:r>
        <w:rPr>
          <w:rFonts w:hint="eastAsia" w:ascii="仿宋_GB2312" w:hAnsi="仿宋_GB2312" w:eastAsia="仿宋_GB2312" w:cs="仿宋_GB2312"/>
          <w:color w:val="auto"/>
          <w:sz w:val="32"/>
          <w:highlight w:val="none"/>
        </w:rPr>
        <w:t>推动重点涉气企业环保绩效“争A创B”。</w:t>
      </w:r>
      <w:r>
        <w:rPr>
          <w:rFonts w:hint="eastAsia" w:ascii="仿宋_GB2312" w:hAnsi="仿宋_GB2312" w:eastAsia="仿宋_GB2312" w:cs="仿宋_GB2312"/>
          <w:bCs/>
          <w:color w:val="auto"/>
          <w:sz w:val="32"/>
          <w:szCs w:val="32"/>
          <w:highlight w:val="none"/>
        </w:rPr>
        <w:t>积极应对重污染天气，强化应急响应监管责任落实，确保重污染天气应急减排措施落实到位。</w:t>
      </w:r>
      <w:r>
        <w:rPr>
          <w:rFonts w:hint="eastAsia" w:ascii="仿宋_GB2312" w:hAnsi="仿宋_GB2312" w:eastAsia="仿宋_GB2312" w:cs="仿宋_GB2312"/>
          <w:color w:val="auto"/>
          <w:kern w:val="0"/>
          <w:sz w:val="32"/>
          <w:szCs w:val="32"/>
          <w:highlight w:val="none"/>
        </w:rPr>
        <w:t>到2030年，EQI（生态质量指数）稳中向好，环境空气质量</w:t>
      </w:r>
      <w:r>
        <w:rPr>
          <w:rFonts w:hint="eastAsia" w:ascii="仿宋_GB2312" w:hAnsi="仿宋_GB2312" w:eastAsia="仿宋_GB2312" w:cs="仿宋_GB2312"/>
          <w:color w:val="auto"/>
          <w:sz w:val="32"/>
          <w:highlight w:val="none"/>
        </w:rPr>
        <w:t>PM2.5</w:t>
      </w:r>
      <w:r>
        <w:rPr>
          <w:rFonts w:hint="eastAsia" w:ascii="仿宋_GB2312" w:hAnsi="仿宋_GB2312" w:eastAsia="仿宋_GB2312" w:cs="仿宋_GB2312"/>
          <w:color w:val="auto"/>
          <w:kern w:val="0"/>
          <w:sz w:val="32"/>
          <w:szCs w:val="32"/>
          <w:highlight w:val="none"/>
        </w:rPr>
        <w:t>浓度达到上级下达目标。</w:t>
      </w:r>
    </w:p>
    <w:p w14:paraId="29865C6B">
      <w:pPr>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保障水环境质量稳中向好。</w:t>
      </w:r>
      <w:r>
        <w:rPr>
          <w:rFonts w:hint="eastAsia" w:ascii="仿宋_GB2312" w:hAnsi="仿宋_GB2312" w:eastAsia="仿宋_GB2312" w:cs="仿宋_GB2312"/>
          <w:color w:val="auto"/>
          <w:sz w:val="32"/>
          <w:szCs w:val="32"/>
          <w:highlight w:val="none"/>
        </w:rPr>
        <w:t>统筹做好“水安全、水生态、水经济、水文化”，以美丽河湖、</w:t>
      </w:r>
      <w:r>
        <w:rPr>
          <w:rFonts w:hint="eastAsia" w:ascii="仿宋_GB2312" w:hAnsi="仿宋_GB2312" w:eastAsia="仿宋_GB2312" w:cs="仿宋_GB2312"/>
          <w:color w:val="auto"/>
          <w:sz w:val="32"/>
          <w:szCs w:val="32"/>
          <w:highlight w:val="none"/>
          <w:lang w:bidi="ar"/>
        </w:rPr>
        <w:t>幸福河湖建设为纽带，</w:t>
      </w:r>
      <w:r>
        <w:rPr>
          <w:rFonts w:hint="eastAsia" w:ascii="仿宋_GB2312" w:hAnsi="仿宋_GB2312" w:eastAsia="仿宋_GB2312" w:cs="仿宋_GB2312"/>
          <w:color w:val="auto"/>
          <w:sz w:val="32"/>
          <w:highlight w:val="none"/>
        </w:rPr>
        <w:t>深入实施南四湖流域综合治理，推进人工湿地项目建设和入河排污口规范化整治，</w:t>
      </w:r>
      <w:r>
        <w:rPr>
          <w:rFonts w:hint="eastAsia" w:ascii="仿宋_GB2312" w:hAnsi="仿宋_GB2312" w:eastAsia="仿宋_GB2312" w:cs="仿宋_GB2312"/>
          <w:color w:val="auto"/>
          <w:sz w:val="32"/>
          <w:szCs w:val="32"/>
          <w:highlight w:val="none"/>
        </w:rPr>
        <w:t>确保国控断面水质稳定达标。实施兰祺河、北环河等水质净化</w:t>
      </w:r>
      <w:r>
        <w:rPr>
          <w:rFonts w:hint="eastAsia" w:ascii="仿宋_GB2312" w:hAnsi="仿宋_GB2312" w:eastAsia="仿宋_GB2312" w:cs="仿宋_GB2312"/>
          <w:bCs/>
          <w:color w:val="auto"/>
          <w:sz w:val="32"/>
          <w:szCs w:val="32"/>
          <w:highlight w:val="none"/>
        </w:rPr>
        <w:t>项目</w:t>
      </w:r>
      <w:r>
        <w:rPr>
          <w:rFonts w:hint="eastAsia" w:ascii="仿宋_GB2312" w:hAnsi="仿宋_GB2312" w:eastAsia="仿宋_GB2312" w:cs="仿宋_GB2312"/>
          <w:color w:val="auto"/>
          <w:sz w:val="32"/>
          <w:szCs w:val="32"/>
          <w:highlight w:val="none"/>
        </w:rPr>
        <w:t>，进一步提升河道水质，解决河道两岸村庄</w:t>
      </w:r>
      <w:r>
        <w:rPr>
          <w:rFonts w:hint="eastAsia" w:ascii="仿宋_GB2312" w:hAnsi="仿宋_GB2312" w:eastAsia="仿宋_GB2312" w:cs="仿宋_GB2312"/>
          <w:color w:val="auto"/>
          <w:sz w:val="32"/>
          <w:szCs w:val="32"/>
          <w:highlight w:val="none"/>
          <w:lang w:eastAsia="zh-CN"/>
        </w:rPr>
        <w:t>农业面源污染</w:t>
      </w:r>
      <w:r>
        <w:rPr>
          <w:rFonts w:hint="eastAsia" w:ascii="仿宋_GB2312" w:hAnsi="仿宋_GB2312" w:eastAsia="仿宋_GB2312" w:cs="仿宋_GB2312"/>
          <w:color w:val="auto"/>
          <w:sz w:val="32"/>
          <w:szCs w:val="32"/>
          <w:highlight w:val="none"/>
        </w:rPr>
        <w:t>，改善河道自净和生态功能。推进</w:t>
      </w:r>
      <w:r>
        <w:rPr>
          <w:rFonts w:hint="eastAsia" w:ascii="仿宋_GB2312" w:hAnsi="仿宋_GB2312" w:eastAsia="仿宋_GB2312" w:cs="仿宋_GB2312"/>
          <w:color w:val="auto"/>
          <w:sz w:val="32"/>
          <w:szCs w:val="32"/>
          <w:highlight w:val="none"/>
          <w:lang w:eastAsia="zh-CN"/>
        </w:rPr>
        <w:t>台儿庄区</w:t>
      </w:r>
      <w:r>
        <w:rPr>
          <w:rFonts w:hint="eastAsia" w:ascii="仿宋_GB2312" w:hAnsi="仿宋_GB2312" w:eastAsia="仿宋_GB2312" w:cs="仿宋_GB2312"/>
          <w:color w:val="auto"/>
          <w:sz w:val="32"/>
          <w:szCs w:val="32"/>
          <w:highlight w:val="none"/>
          <w:lang w:val="en-US" w:eastAsia="zh-CN"/>
        </w:rPr>
        <w:t>龙河</w:t>
      </w:r>
      <w:r>
        <w:rPr>
          <w:rFonts w:hint="eastAsia" w:ascii="仿宋_GB2312" w:hAnsi="仿宋_GB2312" w:eastAsia="仿宋_GB2312" w:cs="仿宋_GB2312"/>
          <w:color w:val="auto"/>
          <w:sz w:val="32"/>
          <w:szCs w:val="32"/>
          <w:highlight w:val="none"/>
        </w:rPr>
        <w:t>生态修复</w:t>
      </w:r>
      <w:r>
        <w:rPr>
          <w:rFonts w:hint="eastAsia" w:ascii="仿宋_GB2312" w:hAnsi="仿宋_GB2312" w:eastAsia="仿宋_GB2312" w:cs="仿宋_GB2312"/>
          <w:color w:val="auto"/>
          <w:sz w:val="32"/>
          <w:szCs w:val="32"/>
          <w:highlight w:val="none"/>
          <w:lang w:eastAsia="zh-CN"/>
        </w:rPr>
        <w:t>工程</w:t>
      </w:r>
      <w:r>
        <w:rPr>
          <w:rFonts w:hint="eastAsia" w:ascii="仿宋_GB2312" w:hAnsi="仿宋_GB2312" w:eastAsia="仿宋_GB2312" w:cs="仿宋_GB2312"/>
          <w:color w:val="auto"/>
          <w:sz w:val="32"/>
          <w:szCs w:val="32"/>
          <w:highlight w:val="none"/>
        </w:rPr>
        <w:t>，进一步净化河道水质，保证入运水质稳定达标。</w:t>
      </w:r>
      <w:r>
        <w:rPr>
          <w:rFonts w:hint="eastAsia" w:ascii="仿宋_GB2312" w:hAnsi="仿宋_GB2312" w:eastAsia="仿宋_GB2312" w:cs="仿宋_GB2312"/>
          <w:color w:val="auto"/>
          <w:sz w:val="32"/>
          <w:highlight w:val="none"/>
        </w:rPr>
        <w:t>加强饮用水水源地保护，推进</w:t>
      </w:r>
      <w:r>
        <w:rPr>
          <w:rFonts w:hint="eastAsia" w:ascii="仿宋_GB2312" w:hAnsi="仿宋_GB2312" w:eastAsia="仿宋_GB2312" w:cs="仿宋_GB2312"/>
          <w:color w:val="auto"/>
          <w:sz w:val="32"/>
          <w:szCs w:val="32"/>
          <w:highlight w:val="none"/>
        </w:rPr>
        <w:t>地表水厂饮用水水源地保护区规范化建设，全面提升水源地管理能力，建立长效保护机制，从源头上确保水质安全。</w:t>
      </w:r>
      <w:r>
        <w:rPr>
          <w:rFonts w:hint="eastAsia" w:ascii="仿宋_GB2312" w:hAnsi="仿宋_GB2312" w:eastAsia="仿宋_GB2312" w:cs="仿宋_GB2312"/>
          <w:color w:val="auto"/>
          <w:sz w:val="32"/>
          <w:highlight w:val="none"/>
        </w:rPr>
        <w:t>推进水环境“厂</w:t>
      </w:r>
      <w:r>
        <w:rPr>
          <w:rFonts w:hint="eastAsia" w:ascii="仿宋_GB2312" w:hAnsi="仿宋_GB2312" w:eastAsia="仿宋_GB2312" w:cs="仿宋_GB2312"/>
          <w:color w:val="auto"/>
          <w:sz w:val="32"/>
          <w:highlight w:val="none"/>
          <w:lang w:val="en-US" w:eastAsia="zh-CN"/>
        </w:rPr>
        <w:t>–</w:t>
      </w:r>
      <w:r>
        <w:rPr>
          <w:rFonts w:hint="eastAsia" w:ascii="仿宋_GB2312" w:hAnsi="仿宋_GB2312" w:eastAsia="仿宋_GB2312" w:cs="仿宋_GB2312"/>
          <w:color w:val="auto"/>
          <w:sz w:val="32"/>
          <w:highlight w:val="none"/>
        </w:rPr>
        <w:t>网</w:t>
      </w:r>
      <w:r>
        <w:rPr>
          <w:rFonts w:hint="eastAsia" w:ascii="仿宋_GB2312" w:hAnsi="仿宋_GB2312" w:eastAsia="仿宋_GB2312" w:cs="仿宋_GB2312"/>
          <w:color w:val="auto"/>
          <w:sz w:val="32"/>
          <w:highlight w:val="none"/>
          <w:lang w:eastAsia="zh-CN"/>
        </w:rPr>
        <w:t>–</w:t>
      </w:r>
      <w:r>
        <w:rPr>
          <w:rFonts w:hint="eastAsia" w:ascii="仿宋_GB2312" w:hAnsi="仿宋_GB2312" w:eastAsia="仿宋_GB2312" w:cs="仿宋_GB2312"/>
          <w:color w:val="auto"/>
          <w:sz w:val="32"/>
          <w:highlight w:val="none"/>
        </w:rPr>
        <w:t>河”一体化综合管理模式，进一步完善污水管网配套，提高污水收集率，避免污水流入河道，确保城市建成区黑臭水体实现</w:t>
      </w:r>
      <w:r>
        <w:rPr>
          <w:rFonts w:hint="eastAsia" w:ascii="仿宋_GB2312" w:hAnsi="仿宋_GB2312" w:eastAsia="仿宋_GB2312" w:cs="仿宋_GB2312"/>
          <w:color w:val="auto"/>
          <w:sz w:val="32"/>
          <w:highlight w:val="none"/>
          <w:lang w:eastAsia="zh-CN"/>
        </w:rPr>
        <w:t>长</w:t>
      </w:r>
      <w:r>
        <w:rPr>
          <w:rFonts w:hint="eastAsia" w:ascii="仿宋_GB2312" w:hAnsi="仿宋_GB2312" w:eastAsia="仿宋_GB2312" w:cs="仿宋_GB2312"/>
          <w:color w:val="auto"/>
          <w:sz w:val="32"/>
          <w:highlight w:val="none"/>
          <w:lang w:val="en-US" w:eastAsia="zh-CN"/>
        </w:rPr>
        <w:t>制</w:t>
      </w:r>
      <w:r>
        <w:rPr>
          <w:rFonts w:hint="eastAsia" w:ascii="仿宋_GB2312" w:hAnsi="仿宋_GB2312" w:eastAsia="仿宋_GB2312" w:cs="仿宋_GB2312"/>
          <w:color w:val="auto"/>
          <w:sz w:val="32"/>
          <w:highlight w:val="none"/>
        </w:rPr>
        <w:t>久清效果。全域推进农村生活污水治理提升。</w:t>
      </w:r>
      <w:r>
        <w:rPr>
          <w:rFonts w:hint="eastAsia" w:ascii="仿宋_GB2312" w:hAnsi="仿宋_GB2312" w:eastAsia="仿宋_GB2312" w:cs="仿宋_GB2312"/>
          <w:color w:val="auto"/>
          <w:sz w:val="32"/>
          <w:szCs w:val="32"/>
          <w:highlight w:val="none"/>
        </w:rPr>
        <w:t>加快推进生态警务机制建设，</w:t>
      </w:r>
      <w:r>
        <w:rPr>
          <w:rFonts w:hint="eastAsia" w:ascii="仿宋_GB2312" w:hAnsi="仿宋_GB2312" w:eastAsia="仿宋_GB2312" w:cs="仿宋_GB2312"/>
          <w:color w:val="auto"/>
          <w:sz w:val="32"/>
          <w:szCs w:val="32"/>
          <w:highlight w:val="none"/>
          <w:lang w:val="en-US" w:eastAsia="zh-CN"/>
        </w:rPr>
        <w:t>建立</w:t>
      </w:r>
      <w:r>
        <w:rPr>
          <w:rFonts w:hint="eastAsia" w:ascii="仿宋_GB2312" w:hAnsi="仿宋_GB2312" w:eastAsia="仿宋_GB2312" w:cs="仿宋_GB2312"/>
          <w:color w:val="auto"/>
          <w:sz w:val="32"/>
          <w:szCs w:val="32"/>
          <w:highlight w:val="none"/>
        </w:rPr>
        <w:t>大运河生态警务联勤工作站，打造多元协作、齐抓共管的生态共治新格局</w:t>
      </w:r>
      <w:r>
        <w:rPr>
          <w:rFonts w:hint="eastAsia" w:ascii="仿宋_GB2312" w:hAnsi="仿宋_GB2312" w:eastAsia="仿宋_GB2312" w:cs="仿宋_GB2312"/>
          <w:color w:val="auto"/>
          <w:sz w:val="32"/>
          <w:szCs w:val="32"/>
          <w:highlight w:val="none"/>
          <w:lang w:eastAsia="zh-CN"/>
        </w:rPr>
        <w:t>。</w:t>
      </w:r>
    </w:p>
    <w:p w14:paraId="72F897B0">
      <w:pPr>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ascii="仿宋_GB2312" w:hAnsi="Times New Roman" w:eastAsia="仿宋_GB2312"/>
          <w:color w:val="auto"/>
          <w:sz w:val="32"/>
          <w:highlight w:val="none"/>
        </w:rPr>
      </w:pPr>
      <w:r>
        <w:rPr>
          <w:rFonts w:hint="eastAsia" w:ascii="仿宋_GB2312" w:hAnsi="仿宋_GB2312" w:eastAsia="仿宋_GB2312" w:cs="仿宋_GB2312"/>
          <w:b/>
          <w:bCs/>
          <w:color w:val="auto"/>
          <w:sz w:val="32"/>
          <w:szCs w:val="32"/>
          <w:highlight w:val="none"/>
        </w:rPr>
        <w:t>强化土壤与固体废物监管。</w:t>
      </w:r>
      <w:r>
        <w:rPr>
          <w:rFonts w:hint="eastAsia" w:ascii="仿宋_GB2312" w:hAnsi="仿宋_GB2312" w:eastAsia="仿宋_GB2312" w:cs="仿宋_GB2312"/>
          <w:color w:val="auto"/>
          <w:sz w:val="32"/>
          <w:highlight w:val="none"/>
        </w:rPr>
        <w:t>强化土壤污染源头管控，加强农用地分类管理，衔接国土空间规划，根据土壤污染程度和相关标准，动态调整优先保护类、安全利用</w:t>
      </w:r>
      <w:r>
        <w:rPr>
          <w:rFonts w:hint="eastAsia" w:ascii="Times New Roman" w:hAnsi="Times New Roman" w:eastAsia="仿宋_GB2312"/>
          <w:color w:val="auto"/>
          <w:sz w:val="32"/>
          <w:highlight w:val="none"/>
        </w:rPr>
        <w:t>类和严格管控类农用地的数量和边界。</w:t>
      </w:r>
      <w:r>
        <w:rPr>
          <w:rFonts w:hint="eastAsia" w:ascii="仿宋_GB2312" w:hAnsi="Times New Roman" w:eastAsia="仿宋_GB2312"/>
          <w:color w:val="auto"/>
          <w:sz w:val="32"/>
          <w:highlight w:val="none"/>
        </w:rPr>
        <w:t>加强以排污许可为核心的环境管理，督促土壤污染重点监管单位按照排污许可证规定和标准规范落实控制有毒有害物质排放、土壤污染隐患排查、自行监测等要求。全面推进工业园区污水管网排查整治，严防污水废液渗漏。全面启动受污染农用地溯源，应查尽查，分阶段应治尽治，到2027年</w:t>
      </w:r>
      <w:r>
        <w:rPr>
          <w:rFonts w:hint="eastAsia" w:ascii="仿宋_GB2312" w:hAnsi="Times New Roman" w:eastAsia="仿宋_GB2312"/>
          <w:color w:val="auto"/>
          <w:sz w:val="32"/>
          <w:highlight w:val="none"/>
          <w:lang w:eastAsia="zh-CN"/>
        </w:rPr>
        <w:t>，</w:t>
      </w:r>
      <w:r>
        <w:rPr>
          <w:rFonts w:hint="eastAsia" w:ascii="仿宋_GB2312" w:hAnsi="Times New Roman" w:eastAsia="仿宋_GB2312"/>
          <w:color w:val="auto"/>
          <w:sz w:val="32"/>
          <w:highlight w:val="none"/>
        </w:rPr>
        <w:t>受污染耕地基本完成溯源。加大土壤面源污染整治，以畜禽粪污资源化利用项目为抓手，开展耕地土壤环境质量类别划分和安全利用，到2030年</w:t>
      </w:r>
      <w:r>
        <w:rPr>
          <w:rFonts w:hint="eastAsia" w:ascii="仿宋_GB2312" w:hAnsi="Times New Roman" w:eastAsia="仿宋_GB2312"/>
          <w:color w:val="auto"/>
          <w:sz w:val="32"/>
          <w:highlight w:val="none"/>
          <w:lang w:eastAsia="zh-CN"/>
        </w:rPr>
        <w:t>，</w:t>
      </w:r>
      <w:r>
        <w:rPr>
          <w:rFonts w:hint="eastAsia" w:ascii="仿宋_GB2312" w:hAnsi="Times New Roman" w:eastAsia="仿宋_GB2312"/>
          <w:color w:val="auto"/>
          <w:sz w:val="32"/>
          <w:highlight w:val="none"/>
        </w:rPr>
        <w:t>土壤环境风险得到基本管控。</w:t>
      </w:r>
    </w:p>
    <w:p w14:paraId="1CB2B524">
      <w:pPr>
        <w:pStyle w:val="6"/>
        <w:pageBreakBefore w:val="0"/>
        <w:widowControl w:val="0"/>
        <w:kinsoku/>
        <w:wordWrap/>
        <w:overflowPunct/>
        <w:topLinePunct w:val="0"/>
        <w:autoSpaceDE/>
        <w:autoSpaceDN/>
        <w:bidi w:val="0"/>
        <w:spacing w:line="600" w:lineRule="exact"/>
        <w:textAlignment w:val="auto"/>
        <w:rPr>
          <w:rFonts w:hint="eastAsia"/>
          <w:color w:val="auto"/>
          <w:highlight w:val="none"/>
        </w:rPr>
      </w:pPr>
      <w:bookmarkStart w:id="62" w:name="_Toc14538"/>
      <w:r>
        <w:rPr>
          <w:rFonts w:hint="eastAsia"/>
          <w:color w:val="auto"/>
          <w:highlight w:val="none"/>
        </w:rPr>
        <w:t>第二节 加快建设新型能源体系</w:t>
      </w:r>
      <w:bookmarkEnd w:id="62"/>
    </w:p>
    <w:p w14:paraId="5A0B2336">
      <w:pPr>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加快</w:t>
      </w:r>
      <w:r>
        <w:rPr>
          <w:rFonts w:ascii="仿宋_GB2312" w:hAnsi="仿宋_GB2312" w:eastAsia="仿宋_GB2312" w:cs="仿宋_GB2312"/>
          <w:b/>
          <w:color w:val="auto"/>
          <w:sz w:val="32"/>
          <w:szCs w:val="32"/>
          <w:highlight w:val="none"/>
        </w:rPr>
        <w:t>推动光伏产业发展</w:t>
      </w:r>
      <w:r>
        <w:rPr>
          <w:rFonts w:hint="eastAsia" w:ascii="仿宋_GB2312" w:hAnsi="仿宋_GB2312" w:eastAsia="仿宋_GB2312" w:cs="仿宋_GB2312"/>
          <w:b/>
          <w:color w:val="auto"/>
          <w:sz w:val="32"/>
          <w:szCs w:val="32"/>
          <w:highlight w:val="none"/>
        </w:rPr>
        <w:t>。</w:t>
      </w:r>
      <w:r>
        <w:rPr>
          <w:rFonts w:ascii="仿宋_GB2312" w:hAnsi="仿宋_GB2312" w:eastAsia="仿宋_GB2312" w:cs="仿宋_GB2312"/>
          <w:color w:val="auto"/>
          <w:sz w:val="32"/>
          <w:szCs w:val="32"/>
          <w:highlight w:val="none"/>
        </w:rPr>
        <w:t>积极探索农光互补、渔光互补等新型示范项目</w:t>
      </w:r>
      <w:r>
        <w:rPr>
          <w:rFonts w:hint="eastAsia" w:ascii="仿宋_GB2312" w:hAnsi="仿宋_GB2312" w:eastAsia="仿宋_GB2312" w:cs="仿宋_GB2312"/>
          <w:color w:val="auto"/>
          <w:sz w:val="32"/>
          <w:szCs w:val="32"/>
          <w:highlight w:val="none"/>
        </w:rPr>
        <w:t>，</w:t>
      </w:r>
      <w:r>
        <w:rPr>
          <w:rFonts w:ascii="仿宋_GB2312" w:hAnsi="仿宋_GB2312" w:eastAsia="仿宋_GB2312" w:cs="仿宋_GB2312"/>
          <w:color w:val="auto"/>
          <w:sz w:val="32"/>
          <w:szCs w:val="32"/>
          <w:highlight w:val="none"/>
        </w:rPr>
        <w:t>系统梳理并高效利用</w:t>
      </w:r>
      <w:r>
        <w:rPr>
          <w:rFonts w:hint="eastAsia" w:ascii="仿宋_GB2312" w:hAnsi="仿宋_GB2312" w:eastAsia="仿宋_GB2312" w:cs="仿宋_GB2312"/>
          <w:color w:val="auto"/>
          <w:sz w:val="32"/>
          <w:szCs w:val="32"/>
          <w:highlight w:val="none"/>
          <w:lang w:val="en-US" w:eastAsia="zh-CN"/>
        </w:rPr>
        <w:t>经济</w:t>
      </w:r>
      <w:r>
        <w:rPr>
          <w:rFonts w:ascii="仿宋_GB2312" w:hAnsi="仿宋_GB2312" w:eastAsia="仿宋_GB2312" w:cs="仿宋_GB2312"/>
          <w:color w:val="auto"/>
          <w:sz w:val="32"/>
          <w:szCs w:val="32"/>
          <w:highlight w:val="none"/>
        </w:rPr>
        <w:t>开发区工业厂房及党政机关、学校、医疗卫生机构等公共机构建筑资源</w:t>
      </w:r>
      <w:r>
        <w:rPr>
          <w:rFonts w:hint="eastAsia" w:ascii="仿宋_GB2312" w:hAnsi="仿宋_GB2312" w:eastAsia="仿宋_GB2312" w:cs="仿宋_GB2312"/>
          <w:color w:val="auto"/>
          <w:sz w:val="32"/>
          <w:szCs w:val="32"/>
          <w:highlight w:val="none"/>
        </w:rPr>
        <w:t>。</w:t>
      </w:r>
      <w:r>
        <w:rPr>
          <w:rFonts w:ascii="仿宋_GB2312" w:hAnsi="仿宋_GB2312" w:eastAsia="仿宋_GB2312" w:cs="仿宋_GB2312"/>
          <w:color w:val="auto"/>
          <w:sz w:val="32"/>
          <w:szCs w:val="32"/>
          <w:highlight w:val="none"/>
        </w:rPr>
        <w:t>推进配电网升级改造，切实保障分布式光伏规模化接入，为光伏产业高质量发展注入新动力。</w:t>
      </w:r>
    </w:p>
    <w:p w14:paraId="10795344">
      <w:pPr>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有序推动风电产业发展。</w:t>
      </w:r>
      <w:r>
        <w:rPr>
          <w:rFonts w:hint="eastAsia" w:ascii="仿宋_GB2312" w:hAnsi="仿宋_GB2312" w:eastAsia="仿宋_GB2312" w:cs="仿宋_GB2312"/>
          <w:color w:val="auto"/>
          <w:sz w:val="32"/>
          <w:szCs w:val="32"/>
          <w:highlight w:val="none"/>
        </w:rPr>
        <w:t>高效推动海博思创陆上集中式风电项目、“千乡万村驭风行动”试点风电项目顺利实施，督促开发企业针对配套产业、乡村振兴和外资引入等竞配承诺兑现，力争风电资源效益最大化。全面梳理辖区内剩余可使用的风电选址及土地现状图，科学规划布局，提升资源利用效率和并网稳定性，争取陆上风电指标，适时推动华电鹿荒风电场开展改造升级。</w:t>
      </w:r>
    </w:p>
    <w:p w14:paraId="6D561900">
      <w:pPr>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szCs w:val="32"/>
          <w:highlight w:val="none"/>
        </w:rPr>
      </w:pPr>
      <w:r>
        <w:rPr>
          <w:rFonts w:ascii="仿宋_GB2312" w:hAnsi="仿宋_GB2312" w:eastAsia="仿宋_GB2312" w:cs="仿宋_GB2312"/>
          <w:b/>
          <w:color w:val="auto"/>
          <w:sz w:val="32"/>
          <w:szCs w:val="32"/>
          <w:highlight w:val="none"/>
        </w:rPr>
        <w:t>稳步推动储能产业发展。</w:t>
      </w:r>
      <w:r>
        <w:rPr>
          <w:rFonts w:ascii="仿宋_GB2312" w:hAnsi="仿宋_GB2312" w:eastAsia="仿宋_GB2312" w:cs="仿宋_GB2312"/>
          <w:color w:val="auto"/>
          <w:sz w:val="32"/>
          <w:szCs w:val="32"/>
          <w:highlight w:val="none"/>
        </w:rPr>
        <w:t>推进明源电化学储能项目</w:t>
      </w:r>
      <w:r>
        <w:rPr>
          <w:rFonts w:hint="eastAsia" w:ascii="仿宋_GB2312" w:hAnsi="仿宋_GB2312" w:eastAsia="仿宋_GB2312" w:cs="仿宋_GB2312"/>
          <w:color w:val="auto"/>
          <w:sz w:val="32"/>
          <w:szCs w:val="32"/>
          <w:highlight w:val="none"/>
        </w:rPr>
        <w:t>建成</w:t>
      </w:r>
      <w:r>
        <w:rPr>
          <w:rFonts w:ascii="仿宋_GB2312" w:hAnsi="仿宋_GB2312" w:eastAsia="仿宋_GB2312" w:cs="仿宋_GB2312"/>
          <w:color w:val="auto"/>
          <w:sz w:val="32"/>
          <w:szCs w:val="32"/>
          <w:highlight w:val="none"/>
        </w:rPr>
        <w:t>并网，</w:t>
      </w:r>
      <w:r>
        <w:rPr>
          <w:rFonts w:hint="eastAsia" w:ascii="仿宋_GB2312" w:hAnsi="仿宋_GB2312" w:eastAsia="仿宋_GB2312" w:cs="仿宋_GB2312"/>
          <w:color w:val="auto"/>
          <w:sz w:val="32"/>
          <w:szCs w:val="32"/>
          <w:highlight w:val="none"/>
        </w:rPr>
        <w:t>加强明源</w:t>
      </w:r>
      <w:r>
        <w:rPr>
          <w:rFonts w:ascii="仿宋_GB2312" w:hAnsi="仿宋_GB2312" w:eastAsia="仿宋_GB2312" w:cs="仿宋_GB2312"/>
          <w:color w:val="auto"/>
          <w:sz w:val="32"/>
          <w:szCs w:val="32"/>
          <w:highlight w:val="none"/>
        </w:rPr>
        <w:t>二期项目规划</w:t>
      </w:r>
      <w:r>
        <w:rPr>
          <w:rFonts w:hint="eastAsia" w:ascii="仿宋_GB2312" w:hAnsi="仿宋_GB2312" w:eastAsia="仿宋_GB2312" w:cs="仿宋_GB2312"/>
          <w:color w:val="auto"/>
          <w:sz w:val="32"/>
          <w:szCs w:val="32"/>
          <w:highlight w:val="none"/>
        </w:rPr>
        <w:t>建设，探索空气压缩储能与抽水蓄能试点</w:t>
      </w:r>
      <w:r>
        <w:rPr>
          <w:rFonts w:ascii="仿宋_GB2312" w:hAnsi="仿宋_GB2312" w:eastAsia="仿宋_GB2312" w:cs="仿宋_GB2312"/>
          <w:color w:val="auto"/>
          <w:sz w:val="32"/>
          <w:szCs w:val="32"/>
          <w:highlight w:val="none"/>
        </w:rPr>
        <w:t>，积极争取省储能示范项目</w:t>
      </w:r>
      <w:r>
        <w:rPr>
          <w:rFonts w:hint="eastAsia" w:ascii="仿宋_GB2312" w:hAnsi="仿宋_GB2312" w:eastAsia="仿宋_GB2312" w:cs="仿宋_GB2312"/>
          <w:color w:val="auto"/>
          <w:sz w:val="32"/>
          <w:szCs w:val="32"/>
          <w:highlight w:val="none"/>
        </w:rPr>
        <w:t>。</w:t>
      </w:r>
      <w:r>
        <w:rPr>
          <w:rFonts w:ascii="仿宋_GB2312" w:hAnsi="仿宋_GB2312" w:eastAsia="仿宋_GB2312" w:cs="仿宋_GB2312"/>
          <w:color w:val="auto"/>
          <w:sz w:val="32"/>
          <w:szCs w:val="32"/>
          <w:highlight w:val="none"/>
        </w:rPr>
        <w:t>支持</w:t>
      </w:r>
      <w:r>
        <w:rPr>
          <w:rFonts w:hint="eastAsia" w:ascii="仿宋_GB2312" w:hAnsi="仿宋_GB2312" w:eastAsia="仿宋_GB2312" w:cs="仿宋_GB2312"/>
          <w:color w:val="auto"/>
          <w:sz w:val="32"/>
          <w:szCs w:val="32"/>
          <w:highlight w:val="none"/>
        </w:rPr>
        <w:t>新上分布式电源</w:t>
      </w:r>
      <w:r>
        <w:rPr>
          <w:rFonts w:ascii="仿宋_GB2312" w:hAnsi="仿宋_GB2312" w:eastAsia="仿宋_GB2312" w:cs="仿宋_GB2312"/>
          <w:color w:val="auto"/>
          <w:sz w:val="32"/>
          <w:szCs w:val="32"/>
          <w:highlight w:val="none"/>
        </w:rPr>
        <w:t>项目合理配置储能系统，适时提高储能配置比例与充放电时长要求</w:t>
      </w:r>
      <w:r>
        <w:rPr>
          <w:rFonts w:hint="eastAsia" w:ascii="仿宋_GB2312" w:hAnsi="仿宋_GB2312" w:eastAsia="仿宋_GB2312" w:cs="仿宋_GB2312"/>
          <w:color w:val="auto"/>
          <w:sz w:val="32"/>
          <w:szCs w:val="32"/>
          <w:highlight w:val="none"/>
        </w:rPr>
        <w:t>。</w:t>
      </w:r>
      <w:r>
        <w:rPr>
          <w:rFonts w:ascii="仿宋_GB2312" w:hAnsi="仿宋_GB2312" w:eastAsia="仿宋_GB2312" w:cs="仿宋_GB2312"/>
          <w:color w:val="auto"/>
          <w:sz w:val="32"/>
          <w:szCs w:val="32"/>
          <w:highlight w:val="none"/>
        </w:rPr>
        <w:t>鼓励台发等企业持续探索云储能，建设移动式储能设施，提升区域储能灵活性和用电保障能力。争取全域全模式源网荷储一体化试点，构建具备精准预测与实时调度能力的智慧能源系统</w:t>
      </w:r>
      <w:r>
        <w:rPr>
          <w:rFonts w:hint="eastAsia" w:ascii="仿宋_GB2312" w:hAnsi="仿宋_GB2312" w:eastAsia="仿宋_GB2312" w:cs="仿宋_GB2312"/>
          <w:color w:val="auto"/>
          <w:sz w:val="32"/>
          <w:szCs w:val="32"/>
          <w:highlight w:val="none"/>
        </w:rPr>
        <w:t>，</w:t>
      </w:r>
      <w:r>
        <w:rPr>
          <w:rFonts w:ascii="仿宋_GB2312" w:hAnsi="仿宋_GB2312" w:eastAsia="仿宋_GB2312" w:cs="仿宋_GB2312"/>
          <w:color w:val="auto"/>
          <w:sz w:val="32"/>
          <w:szCs w:val="32"/>
          <w:highlight w:val="none"/>
        </w:rPr>
        <w:t>推动实现源、网、荷、储各环节的一体化管控</w:t>
      </w:r>
      <w:r>
        <w:rPr>
          <w:rFonts w:hint="eastAsia" w:ascii="仿宋_GB2312" w:hAnsi="仿宋_GB2312" w:eastAsia="仿宋_GB2312" w:cs="仿宋_GB2312"/>
          <w:color w:val="auto"/>
          <w:sz w:val="32"/>
          <w:szCs w:val="32"/>
          <w:highlight w:val="none"/>
        </w:rPr>
        <w:t>。</w:t>
      </w:r>
    </w:p>
    <w:p w14:paraId="15D60AC4">
      <w:pPr>
        <w:pStyle w:val="6"/>
        <w:pageBreakBefore w:val="0"/>
        <w:widowControl w:val="0"/>
        <w:kinsoku/>
        <w:wordWrap/>
        <w:overflowPunct/>
        <w:topLinePunct w:val="0"/>
        <w:autoSpaceDE/>
        <w:autoSpaceDN/>
        <w:bidi w:val="0"/>
        <w:spacing w:line="600" w:lineRule="exact"/>
        <w:textAlignment w:val="auto"/>
        <w:rPr>
          <w:rFonts w:hint="eastAsia"/>
          <w:color w:val="auto"/>
          <w:highlight w:val="none"/>
        </w:rPr>
      </w:pPr>
      <w:bookmarkStart w:id="63" w:name="_Toc11616"/>
      <w:r>
        <w:rPr>
          <w:rFonts w:hint="eastAsia"/>
          <w:color w:val="auto"/>
          <w:highlight w:val="none"/>
        </w:rPr>
        <w:t>第三节 积极稳妥推进</w:t>
      </w:r>
      <w:r>
        <w:rPr>
          <w:rFonts w:hint="eastAsia"/>
          <w:color w:val="auto"/>
          <w:highlight w:val="none"/>
          <w:lang w:val="en-US" w:eastAsia="zh-CN"/>
        </w:rPr>
        <w:t>和实现</w:t>
      </w:r>
      <w:r>
        <w:rPr>
          <w:rFonts w:hint="eastAsia"/>
          <w:color w:val="auto"/>
          <w:highlight w:val="none"/>
        </w:rPr>
        <w:t>碳达峰</w:t>
      </w:r>
      <w:bookmarkEnd w:id="63"/>
    </w:p>
    <w:p w14:paraId="7AE19C7E">
      <w:pPr>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有计划分步骤实施碳达峰行动。</w:t>
      </w:r>
      <w:r>
        <w:rPr>
          <w:rFonts w:hint="eastAsia" w:ascii="仿宋_GB2312" w:hAnsi="仿宋_GB2312" w:eastAsia="仿宋_GB2312" w:cs="仿宋_GB2312"/>
          <w:color w:val="auto"/>
          <w:sz w:val="32"/>
          <w:szCs w:val="32"/>
          <w:highlight w:val="none"/>
        </w:rPr>
        <w:t>2030年前实现碳达峰，为2060年前实现碳中和奠定基础。落实能耗双控向碳排放双控全面转型新机制，以精细化管理和技术创新为支撑，提升全社会能源利用效率和效益。加快规划建设新型能源体系，坚持先立后破，按照“节能、净煤、强电、增绿”的总体思路，重点控制煤炭等化石能源消费，加强煤炭清洁高效利用，大力发展非化石能源，重点拓展储能、锂电池、生物质能等发展领域，加快构建新型电力系统，逐步提高可再生能源消费比重，实现化石能源消费总量逐步下降。推动能耗双控逐步转向碳排放总量和强度双控，加强碳排放双控基础能力和制度建设。加强绿色低碳技术和产品知识产权保护，完善绿色低碳技术和产品检测、评估、认证体系。探索开展二氧化碳捕集、利用与封存技术示范工程。</w:t>
      </w:r>
    </w:p>
    <w:p w14:paraId="4782E2CA">
      <w:pPr>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推进重点领域绿色低碳转型。</w:t>
      </w:r>
      <w:r>
        <w:rPr>
          <w:rFonts w:hint="eastAsia" w:ascii="仿宋_GB2312" w:hAnsi="仿宋_GB2312" w:eastAsia="仿宋_GB2312" w:cs="仿宋_GB2312"/>
          <w:color w:val="auto"/>
          <w:sz w:val="32"/>
          <w:szCs w:val="32"/>
          <w:highlight w:val="none"/>
        </w:rPr>
        <w:t>以“节能降碳+循环利用+绿色制造”为核心，推动工业绿色转型走深走实，推进建材、铸造等高耗能高排放行业改造提升，推进省级粉煤灰工业资源综合利用试点，促进大宗固废在水泥等建材领域的规模化应用。推进城乡建设发展绿色转型，推广绿色建造方式，发展绿色低碳建筑，优先选用绿色建材，推进既有建筑和市政基础设施节能节水降碳改造，推进气候适应型城市建设，增强城乡气候韧性。推进交通运输绿色转型，开展既有交通基础设施节能降碳改造提升，建设一批低碳（近零碳）车站、码头、高速公路服务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推动城市公共服务车辆全面电动化。</w:t>
      </w:r>
    </w:p>
    <w:p w14:paraId="202E6C40">
      <w:pPr>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
          <w:bCs/>
          <w:color w:val="auto"/>
          <w:sz w:val="32"/>
          <w:szCs w:val="32"/>
          <w:highlight w:val="none"/>
        </w:rPr>
        <w:t>打造区域性零碳地标。</w:t>
      </w:r>
      <w:r>
        <w:rPr>
          <w:rFonts w:hint="eastAsia" w:ascii="仿宋_GB2312" w:hAnsi="仿宋_GB2312" w:eastAsia="仿宋_GB2312" w:cs="仿宋_GB2312"/>
          <w:bCs/>
          <w:color w:val="auto"/>
          <w:sz w:val="32"/>
          <w:szCs w:val="32"/>
          <w:highlight w:val="none"/>
        </w:rPr>
        <w:t>有计划、分步骤推进各类园区低碳化零碳化改造，推动降碳潜力大、基础条件好的工业园区建设零碳园区，打造成绿色低碳发展的集成性、综合性载体。加快园区用能结构转型，支持园区与周边非化石能源发电资源匹配对接，科学配置储能等调节性资源，因地制宜发展绿电直连、新能源就近接入增量配电网等绿色电力直接供应模式，鼓励参与绿证绿电交易，探索氢电耦合开发利用模式。鼓励园区加快自身产业结构优化调整，布局发展低能耗、低污染、高附加值的新兴产业，探索以绿色能源制造绿色产品的“以绿制绿”模式。探索开展低（零）碳镇（街）、村（社区）创建。</w:t>
      </w:r>
    </w:p>
    <w:p w14:paraId="6AAE985E">
      <w:pPr>
        <w:pStyle w:val="6"/>
        <w:pageBreakBefore w:val="0"/>
        <w:widowControl w:val="0"/>
        <w:kinsoku/>
        <w:wordWrap/>
        <w:overflowPunct/>
        <w:topLinePunct w:val="0"/>
        <w:autoSpaceDE/>
        <w:autoSpaceDN/>
        <w:bidi w:val="0"/>
        <w:spacing w:line="600" w:lineRule="exact"/>
        <w:textAlignment w:val="auto"/>
        <w:rPr>
          <w:rFonts w:hint="eastAsia"/>
          <w:color w:val="auto"/>
          <w:highlight w:val="none"/>
        </w:rPr>
      </w:pPr>
      <w:bookmarkStart w:id="64" w:name="_Toc5857"/>
      <w:r>
        <w:rPr>
          <w:rFonts w:hint="eastAsia"/>
          <w:color w:val="auto"/>
          <w:highlight w:val="none"/>
        </w:rPr>
        <w:t>第</w:t>
      </w:r>
      <w:r>
        <w:rPr>
          <w:rFonts w:hint="eastAsia"/>
          <w:color w:val="auto"/>
          <w:highlight w:val="none"/>
          <w:lang w:val="en-US" w:eastAsia="zh-CN"/>
        </w:rPr>
        <w:t>四</w:t>
      </w:r>
      <w:r>
        <w:rPr>
          <w:rFonts w:hint="eastAsia"/>
          <w:color w:val="auto"/>
          <w:highlight w:val="none"/>
        </w:rPr>
        <w:t>节 全面加强生态保护修复</w:t>
      </w:r>
      <w:bookmarkEnd w:id="64"/>
    </w:p>
    <w:p w14:paraId="63446A6C">
      <w:pPr>
        <w:pageBreakBefore w:val="0"/>
        <w:widowControl w:val="0"/>
        <w:kinsoku/>
        <w:wordWrap/>
        <w:overflowPunct/>
        <w:topLinePunct w:val="0"/>
        <w:autoSpaceDE/>
        <w:autoSpaceDN/>
        <w:bidi w:val="0"/>
        <w:spacing w:line="60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打造大运河绿色生态长廊。</w:t>
      </w:r>
      <w:r>
        <w:rPr>
          <w:rFonts w:hint="eastAsia" w:ascii="仿宋_GB2312" w:hAnsi="仿宋_GB2312" w:eastAsia="仿宋_GB2312" w:cs="仿宋_GB2312"/>
          <w:color w:val="auto"/>
          <w:sz w:val="32"/>
          <w:szCs w:val="32"/>
          <w:highlight w:val="none"/>
        </w:rPr>
        <w:t>加强自然保护地体系建设，继续推进自然保护地整合优化，完成台儿庄运河国家湿地公园总体规划修编，做好勘界立标、信息上图入库等工作，确保自然生态系统得到有效保护，到2030年</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湿地保护率稳定在70%以上。科学开展国土绿化行动，深度挖掘现有林地造林潜力，科学安排绿化用地，精准落实绿化空间，加快荒山造林、镇村绿化，加强宜林地和困难地造林，推进公路、铁路沿线及河湖岸线森林建设，到2030年</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力争完成植树造林2500亩，森林覆盖率稳定在8.45%以上。</w:t>
      </w:r>
      <w:r>
        <w:rPr>
          <w:rFonts w:hint="default" w:ascii="仿宋_GB2312" w:hAnsi="仿宋_GB2312" w:eastAsia="仿宋_GB2312" w:cs="仿宋_GB2312"/>
          <w:color w:val="auto"/>
          <w:spacing w:val="0"/>
          <w:sz w:val="32"/>
          <w:szCs w:val="32"/>
          <w:highlight w:val="none"/>
          <w:u w:val="none" w:color="auto"/>
          <w:lang w:val="en-US" w:eastAsia="zh-CN"/>
        </w:rPr>
        <w:t>加强野生动物资源保护，落实各级林长野生动物保护职责和责任区域</w:t>
      </w:r>
      <w:r>
        <w:rPr>
          <w:rFonts w:hint="eastAsia" w:ascii="仿宋_GB2312" w:hAnsi="仿宋_GB2312" w:eastAsia="仿宋_GB2312" w:cs="仿宋_GB2312"/>
          <w:color w:val="auto"/>
          <w:spacing w:val="0"/>
          <w:sz w:val="32"/>
          <w:szCs w:val="32"/>
          <w:highlight w:val="none"/>
          <w:u w:val="none" w:color="auto"/>
          <w:lang w:val="en-US" w:eastAsia="zh-CN"/>
        </w:rPr>
        <w:t>，开展打击非法猎捕交易食用野生鸟类专项行动和“清风行动”，加强生物多样性监测评估，提升生物多样性保护能力。</w:t>
      </w:r>
      <w:r>
        <w:rPr>
          <w:rFonts w:hint="eastAsia" w:ascii="仿宋_GB2312" w:hAnsi="仿宋_GB2312" w:eastAsia="仿宋_GB2312" w:cs="仿宋_GB2312"/>
          <w:color w:val="auto"/>
          <w:sz w:val="32"/>
          <w:szCs w:val="32"/>
          <w:highlight w:val="none"/>
        </w:rPr>
        <w:t>加强美国白蛾等林业有害生物防控，打造健康优质、系统稳定、生物多样性丰富的森林生态系统，到2030年</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完成林业有害生物防治面积110万亩以上，林业有害生物成灾控制率在2‰以下。加强古树名木保护、复壮和</w:t>
      </w:r>
      <w:r>
        <w:rPr>
          <w:rFonts w:hint="eastAsia" w:ascii="仿宋_GB2312" w:hAnsi="仿宋_GB2312" w:eastAsia="仿宋_GB2312" w:cs="仿宋_GB2312"/>
          <w:color w:val="auto"/>
          <w:sz w:val="32"/>
          <w:szCs w:val="32"/>
          <w:highlight w:val="none"/>
          <w:lang w:val="en-US" w:eastAsia="zh-CN"/>
        </w:rPr>
        <w:t>生态环境</w:t>
      </w:r>
      <w:r>
        <w:rPr>
          <w:rFonts w:hint="eastAsia" w:ascii="仿宋_GB2312" w:hAnsi="仿宋_GB2312" w:eastAsia="仿宋_GB2312" w:cs="仿宋_GB2312"/>
          <w:color w:val="auto"/>
          <w:sz w:val="32"/>
          <w:szCs w:val="32"/>
          <w:highlight w:val="none"/>
        </w:rPr>
        <w:t>修复，推进古树名木保护与美丽乡村建设融合发展，古树名木保护率稳定在100%。</w:t>
      </w:r>
    </w:p>
    <w:p w14:paraId="113A91E2">
      <w:pPr>
        <w:pageBreakBefore w:val="0"/>
        <w:widowControl w:val="0"/>
        <w:kinsoku/>
        <w:wordWrap/>
        <w:overflowPunct/>
        <w:topLinePunct w:val="0"/>
        <w:autoSpaceDE/>
        <w:autoSpaceDN/>
        <w:bidi w:val="0"/>
        <w:spacing w:line="600" w:lineRule="exact"/>
        <w:ind w:firstLine="643"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持续推进绿色矿山建设。</w:t>
      </w:r>
      <w:r>
        <w:rPr>
          <w:rFonts w:hint="eastAsia" w:ascii="仿宋_GB2312" w:hAnsi="仿宋_GB2312" w:eastAsia="仿宋_GB2312" w:cs="仿宋_GB2312"/>
          <w:color w:val="auto"/>
          <w:sz w:val="32"/>
          <w:szCs w:val="32"/>
          <w:highlight w:val="none"/>
        </w:rPr>
        <w:t>做好历史遗留废弃矿山生态修复，持续开展治理情况“回头看”，通过地形地貌重塑、土壤重构、植被重建、景观再现、生物多样性重组等措施，提升水土保持和水源涵养能力，加强生产矿山地质环境治理和土地复垦义务履行情况监管，逐步恢复矿区生态环境，消除地质灾害隐患。对治理完成并通过验收的修复治理项目，及时完善竣工手续，做好后期管护。对破损山体效果保持不到位的，及时通知责任主体整改并纳入重点督导台账进行管理，确保历史遗留废弃矿山生态修复治理工程取得实效。推进自然资源、水利、气象等部门信息共享，加强石膏矿塌陷区监测治理。</w:t>
      </w:r>
    </w:p>
    <w:p w14:paraId="6BEFF7BD">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Times New Roman" w:hAnsi="Times New Roman" w:eastAsia="仿宋_GB2312"/>
          <w:color w:val="auto"/>
          <w:sz w:val="32"/>
          <w:szCs w:val="32"/>
          <w:highlight w:val="none"/>
        </w:rPr>
      </w:pPr>
      <w:r>
        <w:rPr>
          <w:rFonts w:hint="eastAsia" w:ascii="仿宋_GB2312" w:hAnsi="宋体" w:eastAsia="仿宋_GB2312" w:cs="宋体"/>
          <w:b/>
          <w:color w:val="auto"/>
          <w:kern w:val="0"/>
          <w:sz w:val="32"/>
          <w:szCs w:val="32"/>
          <w:highlight w:val="none"/>
        </w:rPr>
        <w:t>推动生态产品价值实现。</w:t>
      </w:r>
      <w:r>
        <w:rPr>
          <w:rFonts w:hint="eastAsia" w:ascii="仿宋_GB2312" w:hAnsi="宋体" w:eastAsia="仿宋_GB2312" w:cs="宋体"/>
          <w:color w:val="auto"/>
          <w:kern w:val="0"/>
          <w:sz w:val="32"/>
          <w:szCs w:val="32"/>
          <w:highlight w:val="none"/>
        </w:rPr>
        <w:t>持续探索“两山”转化模式，拓展生态产品价值实现路径，大力发展</w:t>
      </w:r>
      <w:r>
        <w:rPr>
          <w:rFonts w:hint="eastAsia" w:ascii="仿宋_GB2312" w:hAnsi="宋体" w:eastAsia="仿宋_GB2312" w:cs="宋体"/>
          <w:color w:val="auto"/>
          <w:kern w:val="0"/>
          <w:sz w:val="32"/>
          <w:szCs w:val="32"/>
          <w:highlight w:val="none"/>
          <w:lang w:eastAsia="zh-CN"/>
        </w:rPr>
        <w:t>“</w:t>
      </w:r>
      <w:r>
        <w:rPr>
          <w:rFonts w:hint="eastAsia" w:ascii="仿宋_GB2312" w:hAnsi="宋体" w:eastAsia="仿宋_GB2312" w:cs="宋体"/>
          <w:color w:val="auto"/>
          <w:kern w:val="0"/>
          <w:sz w:val="32"/>
          <w:szCs w:val="32"/>
          <w:highlight w:val="none"/>
        </w:rPr>
        <w:t>生态+特色农业</w:t>
      </w:r>
      <w:r>
        <w:rPr>
          <w:rFonts w:hint="eastAsia" w:ascii="仿宋_GB2312" w:hAnsi="宋体" w:eastAsia="仿宋_GB2312" w:cs="宋体"/>
          <w:color w:val="auto"/>
          <w:kern w:val="0"/>
          <w:sz w:val="32"/>
          <w:szCs w:val="32"/>
          <w:highlight w:val="none"/>
          <w:lang w:eastAsia="zh-CN"/>
        </w:rPr>
        <w:t>”“</w:t>
      </w:r>
      <w:r>
        <w:rPr>
          <w:rFonts w:hint="eastAsia" w:ascii="仿宋_GB2312" w:hAnsi="宋体" w:eastAsia="仿宋_GB2312" w:cs="宋体"/>
          <w:color w:val="auto"/>
          <w:kern w:val="0"/>
          <w:sz w:val="32"/>
          <w:szCs w:val="32"/>
          <w:highlight w:val="none"/>
        </w:rPr>
        <w:t>生态+绿色工业</w:t>
      </w:r>
      <w:r>
        <w:rPr>
          <w:rFonts w:hint="eastAsia" w:ascii="仿宋_GB2312" w:hAnsi="宋体" w:eastAsia="仿宋_GB2312" w:cs="宋体"/>
          <w:color w:val="auto"/>
          <w:kern w:val="0"/>
          <w:sz w:val="32"/>
          <w:szCs w:val="32"/>
          <w:highlight w:val="none"/>
          <w:lang w:eastAsia="zh-CN"/>
        </w:rPr>
        <w:t>”</w:t>
      </w:r>
      <w:r>
        <w:rPr>
          <w:rFonts w:hint="eastAsia" w:ascii="仿宋_GB2312" w:hAnsi="宋体" w:eastAsia="仿宋_GB2312" w:cs="宋体"/>
          <w:color w:val="auto"/>
          <w:kern w:val="0"/>
          <w:sz w:val="32"/>
          <w:szCs w:val="32"/>
          <w:highlight w:val="none"/>
        </w:rPr>
        <w:t>和</w:t>
      </w:r>
      <w:r>
        <w:rPr>
          <w:rFonts w:hint="eastAsia" w:ascii="仿宋_GB2312" w:hAnsi="宋体" w:eastAsia="仿宋_GB2312" w:cs="宋体"/>
          <w:color w:val="auto"/>
          <w:kern w:val="0"/>
          <w:sz w:val="32"/>
          <w:szCs w:val="32"/>
          <w:highlight w:val="none"/>
          <w:lang w:eastAsia="zh-CN"/>
        </w:rPr>
        <w:t>“</w:t>
      </w:r>
      <w:r>
        <w:rPr>
          <w:rFonts w:hint="eastAsia" w:ascii="仿宋_GB2312" w:hAnsi="宋体" w:eastAsia="仿宋_GB2312" w:cs="宋体"/>
          <w:color w:val="auto"/>
          <w:kern w:val="0"/>
          <w:sz w:val="32"/>
          <w:szCs w:val="32"/>
          <w:highlight w:val="none"/>
        </w:rPr>
        <w:t>生态+民俗文旅</w:t>
      </w:r>
      <w:r>
        <w:rPr>
          <w:rFonts w:hint="eastAsia" w:ascii="仿宋_GB2312" w:hAnsi="宋体" w:eastAsia="仿宋_GB2312" w:cs="宋体"/>
          <w:color w:val="auto"/>
          <w:kern w:val="0"/>
          <w:sz w:val="32"/>
          <w:szCs w:val="32"/>
          <w:highlight w:val="none"/>
          <w:lang w:eastAsia="zh-CN"/>
        </w:rPr>
        <w:t>”</w:t>
      </w:r>
      <w:r>
        <w:rPr>
          <w:rFonts w:hint="eastAsia" w:ascii="仿宋_GB2312" w:hAnsi="宋体" w:eastAsia="仿宋_GB2312" w:cs="宋体"/>
          <w:color w:val="auto"/>
          <w:kern w:val="0"/>
          <w:sz w:val="32"/>
          <w:szCs w:val="32"/>
          <w:highlight w:val="none"/>
        </w:rPr>
        <w:t>等生态产业，促进“绿水青山”与“金山银山”价值转化，创建</w:t>
      </w:r>
      <w:r>
        <w:rPr>
          <w:rFonts w:hint="eastAsia" w:ascii="Times New Roman" w:hAnsi="Times New Roman" w:eastAsia="仿宋_GB2312"/>
          <w:color w:val="auto"/>
          <w:sz w:val="32"/>
          <w:szCs w:val="32"/>
          <w:highlight w:val="none"/>
        </w:rPr>
        <w:t>省级生态文明示范区、国家级“两山”实践创新基地。</w:t>
      </w:r>
      <w:r>
        <w:rPr>
          <w:rFonts w:hint="eastAsia" w:ascii="仿宋_GB2312" w:hAnsi="仿宋_GB2312" w:eastAsia="仿宋_GB2312" w:cs="仿宋_GB2312"/>
          <w:color w:val="auto"/>
          <w:sz w:val="32"/>
          <w:szCs w:val="32"/>
          <w:highlight w:val="none"/>
        </w:rPr>
        <w:t>持续深化集体林权制度改革，加快公益林建设和储备林培育，探索推进碳汇交易，到2027年</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基本建立权属清晰、责权利统一、保护严格、流转有序、监管有效的集体林权制度。</w:t>
      </w:r>
    </w:p>
    <w:p w14:paraId="11317DF5">
      <w:pPr>
        <w:pStyle w:val="6"/>
        <w:pageBreakBefore w:val="0"/>
        <w:widowControl w:val="0"/>
        <w:kinsoku/>
        <w:wordWrap/>
        <w:overflowPunct/>
        <w:topLinePunct w:val="0"/>
        <w:autoSpaceDE/>
        <w:autoSpaceDN/>
        <w:bidi w:val="0"/>
        <w:spacing w:line="600" w:lineRule="exact"/>
        <w:textAlignment w:val="auto"/>
        <w:rPr>
          <w:color w:val="auto"/>
          <w:highlight w:val="none"/>
        </w:rPr>
      </w:pPr>
      <w:bookmarkStart w:id="65" w:name="_Toc4608"/>
      <w:r>
        <w:rPr>
          <w:rFonts w:hint="eastAsia"/>
          <w:color w:val="auto"/>
          <w:highlight w:val="none"/>
        </w:rPr>
        <w:t>第</w:t>
      </w:r>
      <w:r>
        <w:rPr>
          <w:rFonts w:hint="eastAsia"/>
          <w:color w:val="auto"/>
          <w:highlight w:val="none"/>
          <w:lang w:val="en-US" w:eastAsia="zh-CN"/>
        </w:rPr>
        <w:t>五</w:t>
      </w:r>
      <w:r>
        <w:rPr>
          <w:rFonts w:hint="eastAsia"/>
          <w:color w:val="auto"/>
          <w:highlight w:val="none"/>
        </w:rPr>
        <w:t>节 形成绿色生产生活方式</w:t>
      </w:r>
      <w:bookmarkEnd w:id="65"/>
    </w:p>
    <w:p w14:paraId="25A47EF6">
      <w:pPr>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优化国土空间开发保护格局。</w:t>
      </w:r>
      <w:r>
        <w:rPr>
          <w:rFonts w:hint="eastAsia" w:ascii="仿宋_GB2312" w:hAnsi="仿宋_GB2312" w:eastAsia="仿宋_GB2312" w:cs="仿宋_GB2312"/>
          <w:color w:val="auto"/>
          <w:sz w:val="32"/>
          <w:szCs w:val="32"/>
          <w:highlight w:val="none"/>
        </w:rPr>
        <w:t>深入实施主体功能区战略，引导镇街落实主体功能定位，结合全省主体功能区优化完善，争取叠加划定历史文化资源富集区。严格落实“三区三线”划定成果，统筹优化农业、生态、城镇等各类空间布局。严守生态保护红线，强化执法监管和保护修复，严格控制生态保护红线内的有限人为活动。压实耕地保护属地责任，稳妥推进耕地转为其他农用地和农业设施建设用地进出平衡，确保可以长期稳定利用的耕地不再减少。加强城镇开发边界管理，严格实行土地用途管制，强化城镇开发边界对开发建设行为的刚性约束，推动城镇空间内涵式集约化绿色发展。</w:t>
      </w:r>
    </w:p>
    <w:p w14:paraId="3AD63B2A">
      <w:pPr>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ascii="仿宋_GB2312" w:hAnsi="仿宋_GB2312" w:eastAsia="仿宋_GB2312" w:cs="仿宋_GB2312"/>
          <w:bCs/>
          <w:color w:val="auto"/>
          <w:sz w:val="32"/>
          <w:szCs w:val="32"/>
          <w:highlight w:val="none"/>
        </w:rPr>
      </w:pPr>
      <w:r>
        <w:rPr>
          <w:rFonts w:hint="eastAsia" w:ascii="仿宋_GB2312" w:hAnsi="仿宋_GB2312" w:eastAsia="仿宋_GB2312" w:cs="仿宋_GB2312"/>
          <w:b/>
          <w:bCs/>
          <w:color w:val="auto"/>
          <w:sz w:val="32"/>
          <w:szCs w:val="32"/>
          <w:highlight w:val="none"/>
        </w:rPr>
        <w:t>大力发展绿色低碳产业。</w:t>
      </w:r>
      <w:r>
        <w:rPr>
          <w:rFonts w:hint="eastAsia" w:ascii="仿宋_GB2312" w:hAnsi="仿宋_GB2312" w:eastAsia="仿宋_GB2312" w:cs="仿宋_GB2312"/>
          <w:bCs/>
          <w:color w:val="auto"/>
          <w:sz w:val="32"/>
          <w:szCs w:val="32"/>
          <w:highlight w:val="none"/>
        </w:rPr>
        <w:t>加快发展战略性新兴产业，建设绿色制造体系和服务体系，不断提升绿色低碳产业在经济总量中的比重。深入实施绿色制造工程，大力推行绿色设计，完善绿色制造体系，建设绿色工厂和绿色工业园区</w:t>
      </w:r>
      <w:r>
        <w:rPr>
          <w:rFonts w:hint="eastAsia" w:ascii="仿宋_GB2312" w:hAnsi="仿宋_GB2312" w:eastAsia="仿宋_GB2312" w:cs="仿宋_GB2312"/>
          <w:color w:val="auto"/>
          <w:sz w:val="32"/>
          <w:szCs w:val="32"/>
          <w:highlight w:val="none"/>
        </w:rPr>
        <w:t>，到2030年</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绿色工厂达到20家以上</w:t>
      </w:r>
      <w:r>
        <w:rPr>
          <w:rFonts w:hint="eastAsia" w:ascii="仿宋_GB2312" w:hAnsi="仿宋_GB2312" w:eastAsia="仿宋_GB2312" w:cs="仿宋_GB2312"/>
          <w:bCs/>
          <w:color w:val="auto"/>
          <w:sz w:val="32"/>
          <w:szCs w:val="32"/>
          <w:highlight w:val="none"/>
        </w:rPr>
        <w:t>。加快推广绿色服务新模式，积极发展节能服务业，完善扩大合同能源管理，采取费用托管、节能量保证等商业模式，促进节能服务业进一步向生产和运维环节延伸。支持环境治理整体解决方案、环保管家、环境顾问、区域一体化服务模式，开展园区污染防治第三方治理示范，创新发展生态环境导向的开发（EOD）模式试点。</w:t>
      </w:r>
    </w:p>
    <w:p w14:paraId="6175EB9F">
      <w:pPr>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highlight w:val="none"/>
        </w:rPr>
      </w:pPr>
      <w:r>
        <w:rPr>
          <w:rFonts w:hint="eastAsia" w:ascii="仿宋_GB2312" w:hAnsi="仿宋_GB2312" w:eastAsia="仿宋_GB2312" w:cs="仿宋_GB2312"/>
          <w:b/>
          <w:bCs/>
          <w:color w:val="auto"/>
          <w:sz w:val="32"/>
          <w:szCs w:val="32"/>
          <w:highlight w:val="none"/>
          <w:lang w:bidi="ar"/>
        </w:rPr>
        <w:t>推进“无废城市”建设。</w:t>
      </w:r>
      <w:r>
        <w:rPr>
          <w:rFonts w:hint="eastAsia" w:ascii="仿宋_GB2312" w:hAnsi="仿宋_GB2312" w:eastAsia="仿宋_GB2312" w:cs="仿宋_GB2312"/>
          <w:color w:val="auto"/>
          <w:sz w:val="32"/>
          <w:highlight w:val="none"/>
        </w:rPr>
        <w:t>推进国际闲置品流通集聚区项目建设，健全二手商品流通体系，完善二手商品流通秩序，优化二手商品流通环境。用好</w:t>
      </w:r>
      <w:r>
        <w:rPr>
          <w:rFonts w:hint="eastAsia" w:ascii="仿宋_GB2312" w:hAnsi="仿宋_GB2312" w:eastAsia="仿宋_GB2312" w:cs="仿宋_GB2312"/>
          <w:color w:val="auto"/>
          <w:sz w:val="32"/>
          <w:szCs w:val="32"/>
          <w:highlight w:val="none"/>
        </w:rPr>
        <w:t>省工业资源综合利用试点基地（园区），加强工业固废类和再生资源类综合利用，</w:t>
      </w:r>
      <w:r>
        <w:rPr>
          <w:rFonts w:hint="eastAsia" w:ascii="仿宋_GB2312" w:hAnsi="仿宋_GB2312" w:eastAsia="仿宋_GB2312" w:cs="仿宋_GB2312"/>
          <w:color w:val="auto"/>
          <w:sz w:val="32"/>
          <w:highlight w:val="none"/>
        </w:rPr>
        <w:t>强化危险废物全过程监管，</w:t>
      </w:r>
      <w:r>
        <w:rPr>
          <w:rFonts w:hint="eastAsia" w:ascii="仿宋_GB2312" w:hAnsi="仿宋_GB2312" w:eastAsia="仿宋_GB2312" w:cs="仿宋_GB2312"/>
          <w:color w:val="auto"/>
          <w:sz w:val="32"/>
          <w:szCs w:val="32"/>
          <w:highlight w:val="none"/>
          <w:lang w:bidi="ar"/>
        </w:rPr>
        <w:t>推进大宗固体废物综合利用与新污染物协同治理</w:t>
      </w:r>
      <w:r>
        <w:rPr>
          <w:rFonts w:hint="eastAsia" w:ascii="仿宋_GB2312" w:hAnsi="仿宋_GB2312" w:eastAsia="仿宋_GB2312" w:cs="仿宋_GB2312"/>
          <w:color w:val="auto"/>
          <w:sz w:val="32"/>
          <w:szCs w:val="32"/>
          <w:highlight w:val="none"/>
          <w:lang w:eastAsia="zh-CN" w:bidi="ar"/>
        </w:rPr>
        <w:t>。</w:t>
      </w:r>
      <w:r>
        <w:rPr>
          <w:rFonts w:hint="eastAsia" w:ascii="仿宋_GB2312" w:hAnsi="仿宋_GB2312" w:eastAsia="仿宋_GB2312" w:cs="仿宋_GB2312"/>
          <w:color w:val="auto"/>
          <w:sz w:val="32"/>
          <w:highlight w:val="none"/>
          <w:lang w:val="en-US" w:eastAsia="zh-CN"/>
        </w:rPr>
        <w:t>加快推进</w:t>
      </w:r>
      <w:r>
        <w:rPr>
          <w:rFonts w:hint="eastAsia" w:ascii="仿宋_GB2312" w:hAnsi="仿宋_GB2312" w:eastAsia="仿宋_GB2312" w:cs="仿宋_GB2312"/>
          <w:color w:val="auto"/>
          <w:kern w:val="2"/>
          <w:sz w:val="32"/>
          <w:szCs w:val="32"/>
          <w:highlight w:val="none"/>
          <w:lang w:val="en-US" w:eastAsia="zh-CN" w:bidi="ar-SA"/>
        </w:rPr>
        <w:t>建设循环经济产业园，资源化利用生活垃圾、建筑垃圾、园林垃圾、粪污等达80%。</w:t>
      </w:r>
      <w:r>
        <w:rPr>
          <w:rFonts w:hint="eastAsia" w:ascii="仿宋_GB2312" w:hAnsi="仿宋_GB2312" w:eastAsia="仿宋_GB2312" w:cs="仿宋_GB2312"/>
          <w:color w:val="auto"/>
          <w:sz w:val="32"/>
          <w:szCs w:val="32"/>
          <w:highlight w:val="none"/>
        </w:rPr>
        <w:t>建立综合利用规模化、集群化发展体系</w:t>
      </w:r>
      <w:r>
        <w:rPr>
          <w:rFonts w:hint="eastAsia" w:ascii="仿宋_GB2312" w:hAnsi="仿宋_GB2312" w:eastAsia="仿宋_GB2312" w:cs="仿宋_GB2312"/>
          <w:color w:val="auto"/>
          <w:kern w:val="2"/>
          <w:sz w:val="32"/>
          <w:szCs w:val="32"/>
          <w:highlight w:val="none"/>
          <w:lang w:val="en-US" w:eastAsia="zh-CN" w:bidi="ar-SA"/>
        </w:rPr>
        <w:t>，打造区域性固废资源化利用标杆</w:t>
      </w:r>
      <w:r>
        <w:rPr>
          <w:rFonts w:hint="eastAsia" w:ascii="仿宋_GB2312" w:hAnsi="仿宋_GB2312" w:eastAsia="仿宋_GB2312" w:cs="仿宋_GB2312"/>
          <w:color w:val="auto"/>
          <w:sz w:val="32"/>
          <w:highlight w:val="none"/>
        </w:rPr>
        <w:t>。完善废旧物资回收网络，推广“互联网</w:t>
      </w:r>
      <w:r>
        <w:rPr>
          <w:rFonts w:hint="eastAsia" w:ascii="仿宋_GB2312" w:hAnsi="仿宋_GB2312" w:eastAsia="仿宋_GB2312" w:cs="仿宋_GB2312"/>
          <w:color w:val="auto"/>
          <w:sz w:val="32"/>
          <w:highlight w:val="none"/>
          <w:lang w:val="en-US" w:eastAsia="zh-CN"/>
        </w:rPr>
        <w:t>+</w:t>
      </w:r>
      <w:r>
        <w:rPr>
          <w:rFonts w:hint="eastAsia" w:ascii="仿宋_GB2312" w:hAnsi="仿宋_GB2312" w:eastAsia="仿宋_GB2312" w:cs="仿宋_GB2312"/>
          <w:color w:val="auto"/>
          <w:sz w:val="32"/>
          <w:highlight w:val="none"/>
        </w:rPr>
        <w:t>再生资源回收”模式，提升再生利用规模化、规范化、精细化水平。</w:t>
      </w:r>
    </w:p>
    <w:p w14:paraId="28EC32AE">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b/>
          <w:color w:val="auto"/>
          <w:kern w:val="0"/>
          <w:sz w:val="32"/>
          <w:szCs w:val="32"/>
          <w:highlight w:val="none"/>
        </w:rPr>
        <w:t>实施绿色低碳全民行动。</w:t>
      </w:r>
      <w:r>
        <w:rPr>
          <w:rFonts w:hint="eastAsia" w:ascii="仿宋_GB2312" w:hAnsi="仿宋_GB2312" w:eastAsia="仿宋_GB2312" w:cs="仿宋_GB2312"/>
          <w:color w:val="auto"/>
          <w:kern w:val="0"/>
          <w:sz w:val="32"/>
          <w:szCs w:val="32"/>
          <w:highlight w:val="none"/>
        </w:rPr>
        <w:t>开展节约型机关、绿色家庭、绿色学校、绿色出行等绿色生活创建，打造零碳生活品牌。引导公众节约用水用电、反对铺张浪费、推广“光盘行动”、抵制过度包装、减少一次性用品使用，全面推进生活垃圾分类提质增效，健全分类投放、收集、运输、处理的全链条体系</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引导公众优先选择公共交通、步行、自行车等绿色出行方式，形成崇尚生态文明的社会氛围。探索通过发放消费券、绿色积分等途径，鼓励企业采取“以旧换新”等方式，引导消费者购买绿色产品。开展新能源汽车和绿色智能家电、节水器具、节能灶具、绿色建材下乡活动，鼓励用户扩大绿色能源消费</w:t>
      </w:r>
      <w:r>
        <w:rPr>
          <w:rFonts w:hint="eastAsia" w:ascii="仿宋_GB2312" w:hAnsi="仿宋_GB2312" w:eastAsia="仿宋_GB2312" w:cs="仿宋_GB2312"/>
          <w:color w:val="auto"/>
          <w:kern w:val="0"/>
          <w:sz w:val="32"/>
          <w:szCs w:val="32"/>
          <w:highlight w:val="none"/>
          <w:lang w:eastAsia="zh-CN"/>
        </w:rPr>
        <w:t>。</w:t>
      </w:r>
    </w:p>
    <w:p w14:paraId="3164B981">
      <w:pPr>
        <w:pStyle w:val="12"/>
        <w:adjustRightInd w:val="0"/>
        <w:snapToGrid w:val="0"/>
        <w:spacing w:line="600" w:lineRule="exact"/>
        <w:ind w:firstLine="640" w:firstLineChars="200"/>
        <w:rPr>
          <w:rFonts w:hint="eastAsia" w:ascii="仿宋_GB2312" w:hAnsi="宋体" w:eastAsia="仿宋_GB2312" w:cs="宋体"/>
          <w:color w:val="auto"/>
          <w:kern w:val="0"/>
          <w:sz w:val="32"/>
          <w:szCs w:val="32"/>
          <w:highlight w:val="none"/>
          <w:lang w:eastAsia="zh-CN"/>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51FD2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296" w:type="dxa"/>
            <w:noWrap w:val="0"/>
            <w:vAlign w:val="center"/>
          </w:tcPr>
          <w:p w14:paraId="72D62A05">
            <w:pPr>
              <w:jc w:val="center"/>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专栏</w:t>
            </w:r>
            <w:r>
              <w:rPr>
                <w:rFonts w:hint="eastAsia" w:ascii="黑体" w:hAnsi="黑体" w:eastAsia="黑体" w:cs="宋体"/>
                <w:bCs/>
                <w:color w:val="auto"/>
                <w:sz w:val="28"/>
                <w:szCs w:val="28"/>
                <w:highlight w:val="none"/>
                <w:lang w:val="en-US" w:eastAsia="zh-CN"/>
              </w:rPr>
              <w:t>10</w:t>
            </w:r>
            <w:r>
              <w:rPr>
                <w:rFonts w:hint="eastAsia" w:ascii="黑体" w:hAnsi="黑体" w:eastAsia="黑体" w:cs="宋体"/>
                <w:bCs/>
                <w:color w:val="auto"/>
                <w:sz w:val="28"/>
                <w:szCs w:val="28"/>
                <w:highlight w:val="none"/>
              </w:rPr>
              <w:t>：绿色低碳转型重点项目</w:t>
            </w:r>
          </w:p>
        </w:tc>
      </w:tr>
      <w:tr w14:paraId="4C174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noWrap w:val="0"/>
            <w:vAlign w:val="top"/>
          </w:tcPr>
          <w:p w14:paraId="68662718">
            <w:pPr>
              <w:keepNext w:val="0"/>
              <w:keepLines w:val="0"/>
              <w:pageBreakBefore w:val="0"/>
              <w:widowControl w:val="0"/>
              <w:kinsoku/>
              <w:wordWrap/>
              <w:overflowPunct/>
              <w:topLinePunct w:val="0"/>
              <w:autoSpaceDE/>
              <w:autoSpaceDN/>
              <w:bidi w:val="0"/>
              <w:adjustRightInd/>
              <w:snapToGrid/>
              <w:spacing w:line="600" w:lineRule="exact"/>
              <w:ind w:firstLine="562" w:firstLineChars="200"/>
              <w:textAlignment w:val="auto"/>
              <w:rPr>
                <w:rFonts w:hint="eastAsia" w:ascii="仿宋_GB2312" w:hAnsi="宋体" w:eastAsia="仿宋_GB2312" w:cs="宋体"/>
                <w:bCs/>
                <w:color w:val="auto"/>
                <w:sz w:val="28"/>
                <w:szCs w:val="28"/>
                <w:highlight w:val="none"/>
              </w:rPr>
            </w:pPr>
            <w:r>
              <w:rPr>
                <w:rFonts w:hint="eastAsia" w:ascii="仿宋_GB2312" w:hAnsi="宋体" w:eastAsia="仿宋_GB2312" w:cs="宋体"/>
                <w:b/>
                <w:color w:val="auto"/>
                <w:sz w:val="28"/>
                <w:szCs w:val="28"/>
                <w:highlight w:val="none"/>
              </w:rPr>
              <w:t>污染治理：</w:t>
            </w:r>
            <w:r>
              <w:rPr>
                <w:rFonts w:hint="eastAsia" w:ascii="仿宋_GB2312" w:hAnsi="宋体" w:eastAsia="仿宋_GB2312" w:cs="宋体"/>
                <w:bCs/>
                <w:color w:val="auto"/>
                <w:sz w:val="28"/>
                <w:szCs w:val="28"/>
                <w:highlight w:val="none"/>
              </w:rPr>
              <w:t>（1）落后产能淘汰项目（2）</w:t>
            </w:r>
            <w:r>
              <w:rPr>
                <w:rFonts w:hint="eastAsia" w:ascii="仿宋_GB2312" w:hAnsi="宋体" w:eastAsia="仿宋_GB2312" w:cs="宋体"/>
                <w:bCs/>
                <w:color w:val="auto"/>
                <w:sz w:val="28"/>
                <w:szCs w:val="28"/>
                <w:highlight w:val="none"/>
                <w:lang w:val="en-US" w:eastAsia="zh-CN"/>
              </w:rPr>
              <w:t>重点行业治污能力提升</w:t>
            </w:r>
            <w:r>
              <w:rPr>
                <w:rFonts w:hint="eastAsia" w:ascii="仿宋_GB2312" w:hAnsi="宋体" w:eastAsia="仿宋_GB2312" w:cs="宋体"/>
                <w:bCs/>
                <w:color w:val="auto"/>
                <w:sz w:val="28"/>
                <w:szCs w:val="28"/>
                <w:highlight w:val="none"/>
              </w:rPr>
              <w:t>项目（3）燃煤工业炉窑综合整治项目（4）清洁运输比例提升项目（5）非道路移动机械整治项目（</w:t>
            </w:r>
            <w:r>
              <w:rPr>
                <w:rFonts w:hint="eastAsia" w:ascii="仿宋_GB2312" w:hAnsi="宋体" w:eastAsia="仿宋_GB2312" w:cs="宋体"/>
                <w:bCs/>
                <w:color w:val="auto"/>
                <w:sz w:val="28"/>
                <w:szCs w:val="28"/>
                <w:highlight w:val="none"/>
                <w:lang w:val="en-US" w:eastAsia="zh-CN"/>
              </w:rPr>
              <w:t>6</w:t>
            </w:r>
            <w:r>
              <w:rPr>
                <w:rFonts w:hint="eastAsia" w:ascii="仿宋_GB2312" w:hAnsi="宋体" w:eastAsia="仿宋_GB2312" w:cs="宋体"/>
                <w:bCs/>
                <w:color w:val="auto"/>
                <w:sz w:val="28"/>
                <w:szCs w:val="28"/>
                <w:highlight w:val="none"/>
              </w:rPr>
              <w:t>）台儿庄区循环经济</w:t>
            </w:r>
            <w:r>
              <w:rPr>
                <w:rFonts w:hint="eastAsia" w:ascii="仿宋_GB2312" w:hAnsi="宋体" w:eastAsia="仿宋_GB2312" w:cs="宋体"/>
                <w:bCs/>
                <w:color w:val="auto"/>
                <w:sz w:val="28"/>
                <w:szCs w:val="28"/>
                <w:highlight w:val="none"/>
                <w:lang w:val="en-US" w:eastAsia="zh-CN"/>
              </w:rPr>
              <w:t>产业园</w:t>
            </w:r>
            <w:r>
              <w:rPr>
                <w:rFonts w:hint="eastAsia" w:ascii="仿宋_GB2312" w:hAnsi="宋体" w:eastAsia="仿宋_GB2312" w:cs="宋体"/>
                <w:bCs/>
                <w:color w:val="auto"/>
                <w:sz w:val="28"/>
                <w:szCs w:val="28"/>
                <w:highlight w:val="none"/>
              </w:rPr>
              <w:t>项目。</w:t>
            </w:r>
          </w:p>
          <w:p w14:paraId="623F2196">
            <w:pPr>
              <w:keepNext w:val="0"/>
              <w:keepLines w:val="0"/>
              <w:pageBreakBefore w:val="0"/>
              <w:widowControl w:val="0"/>
              <w:kinsoku/>
              <w:wordWrap/>
              <w:overflowPunct/>
              <w:topLinePunct w:val="0"/>
              <w:autoSpaceDE/>
              <w:autoSpaceDN/>
              <w:bidi w:val="0"/>
              <w:adjustRightInd/>
              <w:snapToGrid/>
              <w:spacing w:line="600" w:lineRule="exact"/>
              <w:ind w:firstLine="562" w:firstLineChars="200"/>
              <w:textAlignment w:val="auto"/>
              <w:rPr>
                <w:rFonts w:hint="eastAsia" w:ascii="仿宋_GB2312" w:hAnsi="宋体" w:eastAsia="仿宋_GB2312" w:cs="宋体"/>
                <w:bCs/>
                <w:color w:val="auto"/>
                <w:sz w:val="28"/>
                <w:szCs w:val="28"/>
                <w:highlight w:val="none"/>
              </w:rPr>
            </w:pPr>
            <w:r>
              <w:rPr>
                <w:rFonts w:hint="eastAsia" w:ascii="仿宋_GB2312" w:hAnsi="宋体" w:eastAsia="仿宋_GB2312" w:cs="宋体"/>
                <w:b/>
                <w:color w:val="auto"/>
                <w:sz w:val="28"/>
                <w:szCs w:val="28"/>
                <w:highlight w:val="none"/>
              </w:rPr>
              <w:t>生态修复：</w:t>
            </w:r>
            <w:r>
              <w:rPr>
                <w:rFonts w:hint="eastAsia" w:ascii="仿宋_GB2312" w:hAnsi="宋体" w:eastAsia="仿宋_GB2312" w:cs="宋体"/>
                <w:b w:val="0"/>
                <w:bCs/>
                <w:color w:val="auto"/>
                <w:sz w:val="28"/>
                <w:szCs w:val="28"/>
                <w:highlight w:val="none"/>
              </w:rPr>
              <w:t>（1）台儿庄区北环河（闫浅干渠至运河大道）水环境综合治理工程（2）台儿庄区龙河生态修复工程（3）地表水厂饮用水水源地保护区规范化建设项目</w:t>
            </w:r>
            <w:r>
              <w:rPr>
                <w:rFonts w:hint="eastAsia" w:ascii="仿宋_GB2312" w:hAnsi="宋体" w:eastAsia="仿宋_GB2312" w:cs="宋体"/>
                <w:bCs/>
                <w:color w:val="auto"/>
                <w:sz w:val="28"/>
                <w:szCs w:val="28"/>
                <w:highlight w:val="none"/>
              </w:rPr>
              <w:t>。</w:t>
            </w:r>
          </w:p>
        </w:tc>
      </w:tr>
    </w:tbl>
    <w:p w14:paraId="57BFEFD6">
      <w:pPr>
        <w:pStyle w:val="5"/>
        <w:adjustRightInd w:val="0"/>
        <w:snapToGrid w:val="0"/>
        <w:spacing w:before="240" w:after="240" w:line="600" w:lineRule="exact"/>
        <w:jc w:val="center"/>
        <w:rPr>
          <w:rFonts w:hint="eastAsia" w:ascii="黑体" w:hAnsi="黑体" w:eastAsia="黑体"/>
          <w:b w:val="0"/>
          <w:bCs w:val="0"/>
          <w:color w:val="auto"/>
          <w:sz w:val="32"/>
          <w:szCs w:val="32"/>
          <w:highlight w:val="none"/>
        </w:rPr>
        <w:sectPr>
          <w:footnotePr>
            <w:numFmt w:val="decimalEnclosedCircleChinese"/>
            <w:numRestart w:val="eachPage"/>
          </w:footnotePr>
          <w:pgSz w:w="11906" w:h="16838"/>
          <w:pgMar w:top="1984" w:right="1587" w:bottom="1701" w:left="1587" w:header="851" w:footer="1134" w:gutter="0"/>
          <w:pgNumType w:fmt="numberInDash"/>
          <w:cols w:space="720" w:num="1"/>
          <w:docGrid w:type="lines" w:linePitch="312" w:charSpace="0"/>
        </w:sectPr>
      </w:pPr>
    </w:p>
    <w:p w14:paraId="3F733482">
      <w:pPr>
        <w:pStyle w:val="5"/>
        <w:pageBreakBefore w:val="0"/>
        <w:widowControl w:val="0"/>
        <w:kinsoku/>
        <w:wordWrap/>
        <w:overflowPunct/>
        <w:topLinePunct w:val="0"/>
        <w:autoSpaceDE/>
        <w:autoSpaceDN/>
        <w:bidi w:val="0"/>
        <w:adjustRightInd w:val="0"/>
        <w:snapToGrid w:val="0"/>
        <w:spacing w:before="240" w:after="240" w:line="600" w:lineRule="exact"/>
        <w:jc w:val="center"/>
        <w:textAlignment w:val="auto"/>
        <w:rPr>
          <w:rFonts w:hint="eastAsia" w:ascii="黑体" w:hAnsi="黑体" w:eastAsia="黑体"/>
          <w:b w:val="0"/>
          <w:bCs w:val="0"/>
          <w:color w:val="auto"/>
          <w:sz w:val="32"/>
          <w:szCs w:val="32"/>
          <w:highlight w:val="none"/>
        </w:rPr>
      </w:pPr>
      <w:bookmarkStart w:id="66" w:name="_Toc4462"/>
      <w:r>
        <w:rPr>
          <w:rFonts w:hint="eastAsia" w:ascii="黑体" w:hAnsi="黑体" w:eastAsia="黑体"/>
          <w:b w:val="0"/>
          <w:bCs w:val="0"/>
          <w:color w:val="auto"/>
          <w:sz w:val="32"/>
          <w:szCs w:val="32"/>
          <w:highlight w:val="none"/>
        </w:rPr>
        <w:t xml:space="preserve">第十一章 </w:t>
      </w:r>
      <w:r>
        <w:rPr>
          <w:rFonts w:hint="eastAsia" w:ascii="黑体" w:hAnsi="黑体" w:eastAsia="黑体"/>
          <w:b w:val="0"/>
          <w:bCs w:val="0"/>
          <w:color w:val="auto"/>
          <w:spacing w:val="-11"/>
          <w:sz w:val="32"/>
          <w:szCs w:val="32"/>
          <w:highlight w:val="none"/>
        </w:rPr>
        <w:t>推进安全体系和能力现代化，建设更高水平平安台儿庄</w:t>
      </w:r>
      <w:bookmarkEnd w:id="66"/>
    </w:p>
    <w:p w14:paraId="46211968">
      <w:pPr>
        <w:pStyle w:val="12"/>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坚定不移贯彻总体国家安全观，树牢风险意识，强化底线思维，注重关口前移，推动高质量发展和高水平安全动态平衡、协同共进，不断筑牢高质量发展安全屏障，确保社会生机勃勃又井然有序。</w:t>
      </w:r>
    </w:p>
    <w:p w14:paraId="17AF8597">
      <w:pPr>
        <w:pStyle w:val="6"/>
        <w:pageBreakBefore w:val="0"/>
        <w:widowControl w:val="0"/>
        <w:kinsoku/>
        <w:wordWrap/>
        <w:overflowPunct/>
        <w:topLinePunct w:val="0"/>
        <w:autoSpaceDE/>
        <w:autoSpaceDN/>
        <w:bidi w:val="0"/>
        <w:textAlignment w:val="auto"/>
        <w:rPr>
          <w:rFonts w:hint="eastAsia"/>
          <w:color w:val="auto"/>
          <w:highlight w:val="none"/>
        </w:rPr>
      </w:pPr>
      <w:bookmarkStart w:id="67" w:name="_Toc14774"/>
      <w:r>
        <w:rPr>
          <w:rFonts w:hint="eastAsia"/>
          <w:color w:val="auto"/>
          <w:highlight w:val="none"/>
        </w:rPr>
        <w:t>第一节</w:t>
      </w:r>
      <w:r>
        <w:rPr>
          <w:color w:val="auto"/>
          <w:highlight w:val="none"/>
        </w:rPr>
        <w:t xml:space="preserve"> </w:t>
      </w:r>
      <w:r>
        <w:rPr>
          <w:rFonts w:hint="eastAsia"/>
          <w:color w:val="auto"/>
          <w:highlight w:val="none"/>
        </w:rPr>
        <w:t>加强重点领域安全能力建设</w:t>
      </w:r>
      <w:bookmarkEnd w:id="67"/>
    </w:p>
    <w:p w14:paraId="513BA2D9">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Times New Roman" w:hAnsi="Times New Roman" w:eastAsia="仿宋_GB2312"/>
          <w:color w:val="auto"/>
          <w:sz w:val="32"/>
          <w:szCs w:val="32"/>
          <w:highlight w:val="none"/>
          <w:lang w:eastAsia="zh-CN"/>
        </w:rPr>
      </w:pPr>
      <w:r>
        <w:rPr>
          <w:rFonts w:hint="eastAsia" w:ascii="Times New Roman" w:hAnsi="Times New Roman" w:eastAsia="仿宋_GB2312"/>
          <w:b/>
          <w:bCs/>
          <w:color w:val="auto"/>
          <w:sz w:val="32"/>
          <w:szCs w:val="32"/>
          <w:highlight w:val="none"/>
        </w:rPr>
        <w:t>守牢国家安全屏障。</w:t>
      </w:r>
      <w:r>
        <w:rPr>
          <w:rFonts w:hint="eastAsia" w:ascii="Times New Roman" w:hAnsi="Times New Roman" w:eastAsia="仿宋_GB2312"/>
          <w:color w:val="auto"/>
          <w:sz w:val="32"/>
          <w:szCs w:val="32"/>
          <w:highlight w:val="none"/>
        </w:rPr>
        <w:t>巩固集中统一、高效权威的安全领导体制，加快构建新安全格局，增强维护和塑造国家安全战略主动。坚持把捍卫政治安全放在首要位置，深入推进反颠覆反渗透反恐怖反邪教斗争，切实筑牢政治安全防线</w:t>
      </w:r>
      <w:r>
        <w:rPr>
          <w:rFonts w:ascii="Times New Roman" w:hAnsi="Times New Roman" w:eastAsia="仿宋_GB2312"/>
          <w:color w:val="auto"/>
          <w:sz w:val="32"/>
          <w:szCs w:val="32"/>
          <w:highlight w:val="none"/>
        </w:rPr>
        <w:t>。严格落实意识形态工作责任制，牢牢掌握意识形态工作领导权、管理权、话语权，切实维护意识形态领域安全。深入开展全民国家安全教育，</w:t>
      </w:r>
      <w:r>
        <w:rPr>
          <w:rFonts w:hint="eastAsia" w:ascii="Times New Roman" w:hAnsi="Times New Roman" w:eastAsia="仿宋_GB2312"/>
          <w:color w:val="auto"/>
          <w:sz w:val="32"/>
          <w:szCs w:val="32"/>
          <w:highlight w:val="none"/>
        </w:rPr>
        <w:t>依托台儿庄国家安全教育馆</w:t>
      </w: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olor w:val="auto"/>
          <w:sz w:val="32"/>
          <w:szCs w:val="32"/>
          <w:highlight w:val="none"/>
        </w:rPr>
        <w:t>打造全国领先的互动国家安全教育场景，让国家安全“可触可感”，筑牢人民防线。加强国防动员能力建设，优化军民一体化应急应战体系，提升应对</w:t>
      </w:r>
      <w:r>
        <w:rPr>
          <w:rFonts w:hint="eastAsia" w:ascii="Times New Roman" w:hAnsi="Times New Roman" w:eastAsia="仿宋_GB2312"/>
          <w:color w:val="auto"/>
          <w:sz w:val="32"/>
          <w:szCs w:val="32"/>
          <w:highlight w:val="none"/>
          <w:lang w:val="en-US" w:eastAsia="zh-CN"/>
        </w:rPr>
        <w:t>各类</w:t>
      </w:r>
      <w:r>
        <w:rPr>
          <w:rFonts w:hint="eastAsia" w:ascii="Times New Roman" w:hAnsi="Times New Roman" w:eastAsia="仿宋_GB2312"/>
          <w:color w:val="auto"/>
          <w:sz w:val="32"/>
          <w:szCs w:val="32"/>
          <w:highlight w:val="none"/>
        </w:rPr>
        <w:t>突发事件</w:t>
      </w:r>
      <w:r>
        <w:rPr>
          <w:rFonts w:hint="eastAsia" w:ascii="Times New Roman" w:hAnsi="Times New Roman" w:eastAsia="仿宋_GB2312"/>
          <w:color w:val="auto"/>
          <w:sz w:val="32"/>
          <w:szCs w:val="32"/>
          <w:highlight w:val="none"/>
          <w:lang w:val="en-US" w:eastAsia="zh-CN"/>
        </w:rPr>
        <w:t>的</w:t>
      </w:r>
      <w:r>
        <w:rPr>
          <w:rFonts w:hint="eastAsia" w:ascii="Times New Roman" w:hAnsi="Times New Roman" w:eastAsia="仿宋_GB2312"/>
          <w:color w:val="auto"/>
          <w:sz w:val="32"/>
          <w:szCs w:val="32"/>
          <w:highlight w:val="none"/>
        </w:rPr>
        <w:t>综合</w:t>
      </w:r>
      <w:r>
        <w:rPr>
          <w:rFonts w:hint="eastAsia" w:ascii="Times New Roman" w:hAnsi="Times New Roman" w:eastAsia="仿宋_GB2312"/>
          <w:color w:val="auto"/>
          <w:sz w:val="32"/>
          <w:szCs w:val="32"/>
          <w:highlight w:val="none"/>
          <w:lang w:val="en-US" w:eastAsia="zh-CN"/>
        </w:rPr>
        <w:t>处置</w:t>
      </w:r>
      <w:r>
        <w:rPr>
          <w:rFonts w:hint="eastAsia" w:ascii="Times New Roman" w:hAnsi="Times New Roman" w:eastAsia="仿宋_GB2312"/>
          <w:color w:val="auto"/>
          <w:sz w:val="32"/>
          <w:szCs w:val="32"/>
          <w:highlight w:val="none"/>
        </w:rPr>
        <w:t>能力</w:t>
      </w:r>
      <w:r>
        <w:rPr>
          <w:rFonts w:hint="eastAsia" w:ascii="Times New Roman" w:hAnsi="Times New Roman" w:eastAsia="仿宋_GB2312"/>
          <w:color w:val="auto"/>
          <w:sz w:val="32"/>
          <w:szCs w:val="32"/>
          <w:highlight w:val="none"/>
          <w:lang w:eastAsia="zh-CN"/>
        </w:rPr>
        <w:t>。</w:t>
      </w:r>
    </w:p>
    <w:p w14:paraId="35DE18A7">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ascii="Times New Roman" w:hAnsi="Times New Roman" w:eastAsia="仿宋_GB2312"/>
          <w:color w:val="auto"/>
          <w:sz w:val="32"/>
          <w:szCs w:val="32"/>
          <w:highlight w:val="none"/>
        </w:rPr>
      </w:pPr>
      <w:r>
        <w:rPr>
          <w:rFonts w:hint="eastAsia" w:ascii="Times New Roman" w:hAnsi="Times New Roman" w:eastAsia="仿宋_GB2312"/>
          <w:b/>
          <w:color w:val="auto"/>
          <w:sz w:val="32"/>
          <w:szCs w:val="32"/>
          <w:highlight w:val="none"/>
        </w:rPr>
        <w:t>筑牢经济安全防线。</w:t>
      </w:r>
      <w:r>
        <w:rPr>
          <w:rFonts w:hint="eastAsia" w:ascii="Times New Roman" w:hAnsi="Times New Roman" w:eastAsia="仿宋_GB2312"/>
          <w:color w:val="auto"/>
          <w:sz w:val="32"/>
          <w:szCs w:val="32"/>
          <w:highlight w:val="none"/>
        </w:rPr>
        <w:t>加强重要经济指标动态监测、研判、预警，做好中长期应对国内外经济环境变化准备，健全维护产业链供应链安全的有效机制，确保骨干产业、基础设施、战略资源、科技创新等关键领域安全可控。密切关注外部贸易环境变化，聚焦“锂机材纺纸”等重点行业，指导企业提前做好应对预案，提升外贸风险应对能力。严格落实粮食安全党政同责，统筹抓好粮食生产、储备、流通，坚决扛牢粮食安全政治责任。加强网络安全体系建设，加强监测预警、应急演练、灾难备份和数据防护，确保网络安全、信息安全、数据安全。</w:t>
      </w:r>
    </w:p>
    <w:p w14:paraId="72E9622B">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Times New Roman" w:hAnsi="Times New Roman" w:eastAsia="仿宋_GB2312"/>
          <w:color w:val="auto"/>
          <w:sz w:val="32"/>
          <w:szCs w:val="32"/>
          <w:highlight w:val="none"/>
        </w:rPr>
      </w:pPr>
      <w:r>
        <w:rPr>
          <w:rFonts w:hint="eastAsia" w:ascii="Times New Roman" w:hAnsi="Times New Roman" w:eastAsia="仿宋_GB2312"/>
          <w:b/>
          <w:bCs/>
          <w:color w:val="auto"/>
          <w:sz w:val="32"/>
          <w:szCs w:val="32"/>
          <w:highlight w:val="none"/>
        </w:rPr>
        <w:t>防范化解重点领域风险。</w:t>
      </w:r>
      <w:r>
        <w:rPr>
          <w:rFonts w:hint="eastAsia" w:ascii="Times New Roman" w:hAnsi="Times New Roman" w:eastAsia="仿宋_GB2312"/>
          <w:color w:val="auto"/>
          <w:sz w:val="32"/>
          <w:szCs w:val="32"/>
          <w:highlight w:val="none"/>
        </w:rPr>
        <w:t>持续抓好保交楼保民生保稳定工作，持续健全和完善房地产调控体制机制，促进合理住房消费需求持续平稳释放。健全完善全口径政府债务风险监管体系和排查机制，稳步化解地方债务风险，</w:t>
      </w:r>
      <w:r>
        <w:rPr>
          <w:rFonts w:hint="eastAsia" w:ascii="仿宋_GB2312" w:hAnsi="仿宋_GB2312" w:eastAsia="仿宋_GB2312" w:cs="仿宋_GB2312"/>
          <w:color w:val="auto"/>
          <w:sz w:val="32"/>
          <w:szCs w:val="32"/>
          <w:highlight w:val="none"/>
        </w:rPr>
        <w:t>扛牢政府债务管理和风险防范化解主体责任，深化融资平台和城投公司改革转型，</w:t>
      </w:r>
      <w:r>
        <w:rPr>
          <w:rFonts w:hint="eastAsia" w:ascii="Times New Roman" w:hAnsi="Times New Roman" w:eastAsia="仿宋_GB2312"/>
          <w:color w:val="auto"/>
          <w:sz w:val="32"/>
          <w:szCs w:val="32"/>
          <w:highlight w:val="none"/>
        </w:rPr>
        <w:t>强化债券资金“借用管还”全过程管理，落实穿透式监测和绩效评价。进一步规范政府投资项目决策和立项，坚决遏制新增隐性债务。完善金融风险监测预警体系和监管制度，推进中小金融机构、重点企业、非法金融活动等风险防控和处置，加强对担保圈、非法集资等重点领域风险排查，严厉打击各类非法金融活动，守牢金融安全底线。</w:t>
      </w:r>
    </w:p>
    <w:p w14:paraId="6BC673E7">
      <w:pPr>
        <w:pStyle w:val="6"/>
        <w:pageBreakBefore w:val="0"/>
        <w:widowControl w:val="0"/>
        <w:kinsoku/>
        <w:wordWrap/>
        <w:overflowPunct/>
        <w:topLinePunct w:val="0"/>
        <w:autoSpaceDE/>
        <w:autoSpaceDN/>
        <w:bidi w:val="0"/>
        <w:textAlignment w:val="auto"/>
        <w:rPr>
          <w:rFonts w:hint="eastAsia"/>
          <w:color w:val="auto"/>
          <w:highlight w:val="none"/>
        </w:rPr>
      </w:pPr>
      <w:bookmarkStart w:id="68" w:name="_Toc8788"/>
      <w:r>
        <w:rPr>
          <w:rFonts w:hint="eastAsia"/>
          <w:color w:val="auto"/>
          <w:highlight w:val="none"/>
        </w:rPr>
        <w:t>第二节</w:t>
      </w:r>
      <w:r>
        <w:rPr>
          <w:color w:val="auto"/>
          <w:highlight w:val="none"/>
        </w:rPr>
        <w:t xml:space="preserve"> </w:t>
      </w:r>
      <w:r>
        <w:rPr>
          <w:rFonts w:hint="eastAsia"/>
          <w:color w:val="auto"/>
          <w:highlight w:val="none"/>
        </w:rPr>
        <w:t>提高公共安全治理水平</w:t>
      </w:r>
      <w:bookmarkEnd w:id="68"/>
    </w:p>
    <w:p w14:paraId="49D8F70C">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Times New Roman" w:hAnsi="Times New Roman" w:eastAsia="仿宋_GB2312" w:cs="Times New Roman"/>
          <w:color w:val="auto"/>
          <w:kern w:val="2"/>
          <w:sz w:val="32"/>
          <w:szCs w:val="32"/>
          <w:highlight w:val="none"/>
          <w:u w:val="none"/>
          <w:lang w:val="en-US" w:eastAsia="zh-CN" w:bidi="ar-SA"/>
        </w:rPr>
      </w:pPr>
      <w:r>
        <w:rPr>
          <w:rFonts w:hint="eastAsia" w:ascii="Times New Roman" w:hAnsi="Times New Roman" w:eastAsia="仿宋_GB2312"/>
          <w:b/>
          <w:bCs/>
          <w:color w:val="auto"/>
          <w:sz w:val="32"/>
          <w:szCs w:val="32"/>
          <w:highlight w:val="none"/>
        </w:rPr>
        <w:t>提高防灾减灾救灾能力。</w:t>
      </w:r>
      <w:r>
        <w:rPr>
          <w:rFonts w:hint="eastAsia" w:ascii="Times New Roman" w:hAnsi="Times New Roman" w:eastAsia="仿宋_GB2312" w:cs="Times New Roman"/>
          <w:color w:val="auto"/>
          <w:kern w:val="2"/>
          <w:sz w:val="32"/>
          <w:szCs w:val="32"/>
          <w:highlight w:val="none"/>
          <w:u w:val="none"/>
          <w:lang w:val="en-US" w:eastAsia="zh-CN" w:bidi="ar-SA"/>
        </w:rPr>
        <w:t>树牢“两个坚持、三个转变”防灾减灾救灾理念，健全“防、减、救”责任链条，促进“智慧应急”和基层治理有机融合，推动公共安全治理模式向事前预防转型。强化灾害风险源头管控，提高灾害防治能力。加强会商研判，提高灾害监测预警能力，完善预警响应机制。加快构建“综合+专业+社会”的应急救援力量体系，推进各类队伍联建联训，提升协同救援能力。强化应急物资储备、调拨和物流体系建设，提升物资装备保障能力。支持城市地下生命线改造监测，提升地下管网（供水、排水、燃气等）的安全监测预警和应急处置能力，筑牢城市运行安全底线。健全基层防灾减灾救灾工作体制机制，培育发展安全文化，加强基层防灾减灾科普阵地建设，提升基层应急基础和力量。</w:t>
      </w:r>
    </w:p>
    <w:p w14:paraId="232F1F3A">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筑牢社会治安整体防线。</w:t>
      </w:r>
      <w:r>
        <w:rPr>
          <w:rFonts w:hint="eastAsia" w:ascii="仿宋_GB2312" w:hAnsi="仿宋_GB2312" w:eastAsia="仿宋_GB2312" w:cs="仿宋_GB2312"/>
          <w:b w:val="0"/>
          <w:bCs w:val="0"/>
          <w:color w:val="auto"/>
          <w:sz w:val="32"/>
          <w:szCs w:val="32"/>
          <w:highlight w:val="none"/>
          <w:lang w:val="en-US" w:eastAsia="zh-CN"/>
        </w:rPr>
        <w:t>深入推进专项打击整治，健全扫黑除恶常态化机制，加大打击防范电信网络诈骗、环食药、黄赌毒、盗窃等违法犯罪力度，加强未成年人违法犯罪预防和治理，打造平平安安的治安环境。深入推进社会治安协同共治，重点围绕人、地、物、事、网等治安基础要素和新业态领域，依托基础管控中心健全管理服务机制，加强道路交通安全管理，全力防风险、控发案、降警情。深入推进治安防控体系建设，加密网格巡防勤务，织密视频监控天网，严密网络安全监管，加强警用无人机建设和民用无人机管控，构建“水路空一体”新型治安防控体系。深入推进“专业+机制+大数据”新型警务机制建设，精心打造旅游警务、生态警务、区域警务三大警务品牌，建设执法办案管理中心，加快提升公安机关新质战斗力，不断增强警务工作整体质效。</w:t>
      </w:r>
    </w:p>
    <w:p w14:paraId="2345CCD4">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切实提高安全生产水平。</w:t>
      </w:r>
      <w:r>
        <w:rPr>
          <w:rFonts w:hint="eastAsia" w:ascii="仿宋_GB2312" w:hAnsi="仿宋_GB2312" w:eastAsia="仿宋_GB2312" w:cs="仿宋_GB2312"/>
          <w:b w:val="0"/>
          <w:bCs/>
          <w:color w:val="auto"/>
          <w:sz w:val="32"/>
          <w:szCs w:val="32"/>
          <w:highlight w:val="none"/>
        </w:rPr>
        <w:t>坚持“人民至上、生命至上”，统筹发展和安全，压紧压实领导干部“党政同责、一岗双责、失职追责”、行业监管部门“三管三必须”和企业主体责任。强化安全风险源头管控，将安全要求前置融入规划、建设、运行全过程，提升城市韧性安全水平。聚焦消防、危化品、矿山、工贸、交通运输、建筑施工等重点行业领域及锂电、人工智能等新兴行业领域，紧盯电气焊、登高、有限空间、外包施工等重点作业环节，加强隐患排查，深化安全专项治理。加强安全监管队伍建设，推广“线上+线下”相结合的执法工作模式，严格规范执法，构建更加透明的法治环境。强化科技兴安，加快推进安全生产数智化转型，推动高危行业领域“机械化换人、自动化减人”，全面提升本质安全水平。深化安全宣传教育培训，提升全民安全素养，拓宽社会监督渠道，构建安全生产共建共治新格局。到2030年，全区安全生产形势稳定向好，严防较大及以上事故发生，切实保障人民群众生命财产安全。</w:t>
      </w:r>
    </w:p>
    <w:p w14:paraId="3DEF3DB8">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提高食品药品安全水平。</w:t>
      </w:r>
      <w:r>
        <w:rPr>
          <w:rFonts w:hint="eastAsia" w:ascii="仿宋_GB2312" w:hAnsi="仿宋_GB2312" w:eastAsia="仿宋_GB2312" w:cs="仿宋_GB2312"/>
          <w:color w:val="auto"/>
          <w:sz w:val="32"/>
          <w:szCs w:val="32"/>
          <w:highlight w:val="none"/>
        </w:rPr>
        <w:t>强化食品安全全链条监管，严格落实食用农产品质量安全监管职责，严把食品生产企业许可审查关、过程控制关、产品出厂检验关，坚决守牢“从农田到餐桌”的每一道防线。持续关注“一老一小”食品安全，扩大“互联网+明厨亮灶”智慧监管覆盖面，到2030年，学校（幼儿园）、医养综合体、养老机构“互联网+明厨亮灶”覆盖率达到100%。持续抓好学校、建筑工地食堂、农贸市场等重点领域排查，强</w:t>
      </w:r>
      <w:r>
        <w:rPr>
          <w:rFonts w:hint="eastAsia" w:ascii="仿宋_GB2312" w:hAnsi="仿宋_GB2312" w:eastAsia="仿宋_GB2312" w:cs="仿宋_GB2312"/>
          <w:color w:val="auto"/>
          <w:sz w:val="32"/>
          <w:szCs w:val="32"/>
          <w:highlight w:val="none"/>
          <w:lang w:eastAsia="zh-CN"/>
        </w:rPr>
        <w:t>化对</w:t>
      </w:r>
      <w:r>
        <w:rPr>
          <w:rFonts w:hint="eastAsia" w:ascii="仿宋_GB2312" w:hAnsi="仿宋_GB2312" w:eastAsia="仿宋_GB2312" w:cs="仿宋_GB2312"/>
          <w:color w:val="auto"/>
          <w:sz w:val="32"/>
          <w:szCs w:val="32"/>
          <w:highlight w:val="none"/>
        </w:rPr>
        <w:t>台儿庄古城周边宾馆酒店、乡村饭店、小餐饮的食品安全监督检查，严厉打击食品生产领域假冒伪劣问题。充分发挥食药安办统筹协调作用，健全跨部门会商、联合执法机制，进一步规范药品经营秩序</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强化药品质量安全监管</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推动“交叉互查+精准靶向+宣教并举”，筑牢群众用药安全防线。</w:t>
      </w:r>
    </w:p>
    <w:p w14:paraId="6D9F4813">
      <w:pPr>
        <w:pStyle w:val="6"/>
        <w:pageBreakBefore w:val="0"/>
        <w:widowControl w:val="0"/>
        <w:kinsoku/>
        <w:wordWrap/>
        <w:overflowPunct/>
        <w:topLinePunct w:val="0"/>
        <w:autoSpaceDE/>
        <w:autoSpaceDN/>
        <w:bidi w:val="0"/>
        <w:textAlignment w:val="auto"/>
        <w:rPr>
          <w:rFonts w:hint="eastAsia"/>
          <w:color w:val="auto"/>
          <w:highlight w:val="none"/>
        </w:rPr>
      </w:pPr>
      <w:bookmarkStart w:id="69" w:name="_Toc1162"/>
      <w:r>
        <w:rPr>
          <w:rFonts w:hint="eastAsia"/>
          <w:color w:val="auto"/>
          <w:highlight w:val="none"/>
        </w:rPr>
        <w:t>第三节 建设基层治理创新实验区</w:t>
      </w:r>
      <w:bookmarkEnd w:id="69"/>
    </w:p>
    <w:p w14:paraId="334C6C1F">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ascii="Times New Roman" w:hAnsi="Times New Roman" w:eastAsia="仿宋_GB2312"/>
          <w:color w:val="auto"/>
          <w:sz w:val="32"/>
          <w:szCs w:val="32"/>
          <w:highlight w:val="none"/>
        </w:rPr>
      </w:pPr>
      <w:r>
        <w:rPr>
          <w:rFonts w:hint="eastAsia" w:ascii="Times New Roman" w:hAnsi="Times New Roman" w:eastAsia="仿宋_GB2312"/>
          <w:b/>
          <w:bCs/>
          <w:color w:val="auto"/>
          <w:sz w:val="32"/>
          <w:szCs w:val="32"/>
          <w:highlight w:val="none"/>
        </w:rPr>
        <w:t>健全社会工作体制机制。</w:t>
      </w:r>
      <w:r>
        <w:rPr>
          <w:rFonts w:hint="eastAsia" w:ascii="Times New Roman" w:hAnsi="Times New Roman" w:eastAsia="仿宋_GB2312"/>
          <w:color w:val="auto"/>
          <w:sz w:val="32"/>
          <w:szCs w:val="32"/>
          <w:highlight w:val="none"/>
        </w:rPr>
        <w:t>坚持系统治理、依法治理、综合治理、源头治理，完善共建共治共享的社会治理制度，推进社会治理现代化。完善新兴领域党建工作体系，加强新经济组织、新社会组织、新就业群体党的建设，推进新兴领域“两个覆盖”集中攻坚。实施“温新台城”关爱行动，聚焦破解“服务、赋能、保障”难题，加快推进商圈、楼宇、社区、医院等“新就业群</w:t>
      </w:r>
      <w:r>
        <w:rPr>
          <w:rFonts w:hint="eastAsia" w:ascii="仿宋_GB2312" w:hAnsi="仿宋_GB2312" w:eastAsia="仿宋_GB2312" w:cs="仿宋_GB2312"/>
          <w:color w:val="auto"/>
          <w:sz w:val="32"/>
          <w:szCs w:val="32"/>
          <w:highlight w:val="none"/>
        </w:rPr>
        <w:t>体友好场景”建设，优化党群服务中心、暖“新”驿站等服务功能，引导新就业群体参与基层治理。推进行业协会商会改革发展，</w:t>
      </w:r>
      <w:r>
        <w:rPr>
          <w:rFonts w:hint="eastAsia" w:ascii="Times New Roman" w:hAnsi="Times New Roman" w:eastAsia="仿宋_GB2312"/>
          <w:color w:val="auto"/>
          <w:sz w:val="32"/>
          <w:szCs w:val="32"/>
          <w:highlight w:val="none"/>
        </w:rPr>
        <w:t>健全党建管理体制，发挥行业协会商会改革发展</w:t>
      </w:r>
      <w:r>
        <w:rPr>
          <w:rFonts w:hint="eastAsia" w:ascii="Times New Roman" w:hAnsi="Times New Roman" w:eastAsia="仿宋_GB2312"/>
          <w:color w:val="auto"/>
          <w:sz w:val="32"/>
          <w:szCs w:val="32"/>
          <w:highlight w:val="none"/>
          <w:lang w:eastAsia="zh-CN"/>
        </w:rPr>
        <w:t>部际联席会议</w:t>
      </w:r>
      <w:r>
        <w:rPr>
          <w:rFonts w:hint="eastAsia" w:ascii="Times New Roman" w:hAnsi="Times New Roman" w:eastAsia="仿宋_GB2312"/>
          <w:color w:val="auto"/>
          <w:sz w:val="32"/>
          <w:szCs w:val="32"/>
          <w:highlight w:val="none"/>
        </w:rPr>
        <w:t>制度作用，推动改革任务落地。支持协会商会促进产业链协同、参与行业标准制定，服务高质量发展。</w:t>
      </w:r>
    </w:p>
    <w:p w14:paraId="4F7D9D18">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积极推进基层治理创新。</w:t>
      </w:r>
      <w:r>
        <w:rPr>
          <w:rFonts w:hint="eastAsia" w:ascii="仿宋_GB2312" w:hAnsi="仿宋_GB2312" w:eastAsia="仿宋_GB2312" w:cs="仿宋_GB2312"/>
          <w:color w:val="auto"/>
          <w:sz w:val="32"/>
          <w:szCs w:val="32"/>
          <w:highlight w:val="none"/>
        </w:rPr>
        <w:t>坚持和发展新时代“枫桥经验”，深入推进信访工作法治化和综治中心规范化建设，强化矛盾纠纷排查化解，提升矛盾化解效能。全面实施</w:t>
      </w:r>
      <w:r>
        <w:rPr>
          <w:rFonts w:hint="eastAsia" w:ascii="仿宋_GB2312" w:hAnsi="仿宋_GB2312" w:eastAsia="仿宋_GB2312" w:cs="仿宋_GB2312"/>
          <w:color w:val="auto"/>
          <w:sz w:val="32"/>
          <w:szCs w:val="32"/>
          <w:highlight w:val="none"/>
          <w:lang w:val="en-US" w:eastAsia="zh-CN"/>
        </w:rPr>
        <w:t>镇街</w:t>
      </w:r>
      <w:r>
        <w:rPr>
          <w:rFonts w:hint="eastAsia" w:ascii="仿宋_GB2312" w:hAnsi="仿宋_GB2312" w:eastAsia="仿宋_GB2312" w:cs="仿宋_GB2312"/>
          <w:color w:val="auto"/>
          <w:sz w:val="32"/>
          <w:szCs w:val="32"/>
          <w:highlight w:val="none"/>
        </w:rPr>
        <w:t>履行职责事项清单，健全村（社区）工作事项准入制度。深化村（居）委会规范化建设，修订完善村（居）民自治章程、村规民约、居民公约等基本制度，健全民主选举、民主协商、民主决策、民主管理、民主监督制度，加快构建自治、法治、德治相结合的基层治理体系。推广“有事商量着办”“居民议事厅”等协商议事机制，拓宽群众参与渠道，激发居民参与治理积极性。</w:t>
      </w:r>
      <w:r>
        <w:rPr>
          <w:rFonts w:hint="eastAsia" w:ascii="仿宋_GB2312" w:hAnsi="仿宋_GB2312" w:eastAsia="仿宋_GB2312" w:cs="仿宋_GB2312"/>
          <w:color w:val="auto"/>
          <w:kern w:val="2"/>
          <w:sz w:val="32"/>
          <w:szCs w:val="32"/>
          <w:highlight w:val="none"/>
          <w:lang w:val="en-US" w:eastAsia="zh-CN" w:bidi="ar-SA"/>
        </w:rPr>
        <w:t>支持城市治理数字化转型，促进大数据、物联网、人工智能等技术在城市管理、应急指挥、公共服务等领域的深度应用。</w:t>
      </w:r>
      <w:r>
        <w:rPr>
          <w:rFonts w:hint="eastAsia" w:ascii="仿宋_GB2312" w:hAnsi="仿宋_GB2312" w:eastAsia="仿宋_GB2312" w:cs="仿宋_GB2312"/>
          <w:color w:val="auto"/>
          <w:sz w:val="32"/>
          <w:szCs w:val="32"/>
          <w:highlight w:val="none"/>
        </w:rPr>
        <w:t>推动多元协同共治，建立政府主导、社会协同、市场参与的多方治理格局。加强基层力量建设，按每万城镇常住人口不低于18人的标准，动态配齐配强社区工作者，推动社区工作者定岗网格。持续巩固基层治理“小马拉大车”突出问题整治成果</w:t>
      </w:r>
      <w:r>
        <w:rPr>
          <w:rFonts w:hint="eastAsia" w:ascii="仿宋_GB2312" w:hAnsi="仿宋_GB2312" w:eastAsia="仿宋_GB2312" w:cs="仿宋_GB2312"/>
          <w:color w:val="auto"/>
          <w:sz w:val="32"/>
          <w:szCs w:val="32"/>
          <w:highlight w:val="none"/>
          <w:lang w:eastAsia="zh-CN"/>
        </w:rPr>
        <w:t>。</w:t>
      </w:r>
    </w:p>
    <w:p w14:paraId="1CAEFEDB">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打造“城管驿站”服务综合体。</w:t>
      </w:r>
      <w:r>
        <w:rPr>
          <w:rFonts w:hint="eastAsia" w:ascii="仿宋_GB2312" w:hAnsi="仿宋_GB2312" w:eastAsia="仿宋_GB2312" w:cs="仿宋_GB2312"/>
          <w:color w:val="auto"/>
          <w:sz w:val="32"/>
          <w:szCs w:val="32"/>
          <w:highlight w:val="none"/>
        </w:rPr>
        <w:t>坚持“群众需求导向”，统筹利用小区服务用房等闲置资源，在居民小区、商圈、景区等重点区域，科学布局建设城管驿站。持续深化驿站功能创新，通过空间重构、机制创新与服务升级，精准对接户外劳动者、游客、学生等群体需求，打造集党员教育、便民服务、文明宣传于一体的治理枢纽，为环卫工人提供“歇脚地”、为市民游客设置“便民点”、为青年学生打造“自习角”，推动城管驿站从基础功能覆盖到服务品质优化的跨越式发展。建立驿站功能性党支部，吸纳党员城管队员、社区党员、商户党员参与管理服务，常态化开展主题党日、政策宣讲、志愿服务等活动，让驿站成为凝聚党员、服务群众的“红色堡垒”。建立“驿站议事厅”机制，加强“问题提报</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集体讨论</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方案制定</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效果反馈”闭环管理，为基层治理注入持续动能。</w:t>
      </w:r>
    </w:p>
    <w:p w14:paraId="1C16CACA">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推进社会信用体系建设。</w:t>
      </w:r>
      <w:r>
        <w:rPr>
          <w:rFonts w:hint="eastAsia" w:ascii="仿宋_GB2312" w:hAnsi="仿宋_GB2312" w:eastAsia="仿宋_GB2312" w:cs="仿宋_GB2312"/>
          <w:color w:val="auto"/>
          <w:sz w:val="32"/>
          <w:szCs w:val="32"/>
          <w:highlight w:val="none"/>
        </w:rPr>
        <w:t>持续加强社会信用体系建设，推进诚信政府建设，加大企业信用体系建设，强化公职人员诚信建设，构建和谐新台城。坚持美德信用建设与文明实践相互融合，统筹开展美德信用建设进机关单位、进村庄社区、进学校家庭、进企业行业、进网络空间的“五进行动”。建立完善商户、企业、行业诚信建设体系，健全行业诚信制度，推进信用风险分类监管和部门联合监管，建立健全贯穿市场主体全生命周期，事前信用承诺，事中分级分类监管、信用评价、监管数据共享，事后联合惩戒、信用修复等全流程信用监管机制。完善企业信用修复机制，督促限时修复失信行为，鼓励企业自我承诺、主动纠错、重塑信用。建立激励褒奖机制，制定美德信用激励评价办法，对美德信用先进家庭、个人和单位提供金融、政策、荣誉、礼遇等支持。推广“美德信用+商圈联盟”“美德信用+公益市集”“美德信用+志愿礼遇”等模式，打造“信用+”应用场景。</w:t>
      </w:r>
    </w:p>
    <w:p w14:paraId="12FAAA1F">
      <w:pPr>
        <w:pStyle w:val="6"/>
        <w:pageBreakBefore w:val="0"/>
        <w:widowControl w:val="0"/>
        <w:kinsoku/>
        <w:wordWrap/>
        <w:overflowPunct/>
        <w:topLinePunct w:val="0"/>
        <w:autoSpaceDE/>
        <w:autoSpaceDN/>
        <w:bidi w:val="0"/>
        <w:textAlignment w:val="auto"/>
        <w:rPr>
          <w:rFonts w:hint="eastAsia"/>
          <w:color w:val="auto"/>
          <w:highlight w:val="none"/>
        </w:rPr>
      </w:pPr>
      <w:bookmarkStart w:id="70" w:name="_Toc2153"/>
      <w:r>
        <w:rPr>
          <w:rFonts w:hint="eastAsia"/>
          <w:color w:val="auto"/>
          <w:highlight w:val="none"/>
        </w:rPr>
        <w:t>第四节 建设更高水平法治台儿庄</w:t>
      </w:r>
      <w:bookmarkEnd w:id="70"/>
    </w:p>
    <w:p w14:paraId="32F75D3D">
      <w:pPr>
        <w:numPr>
          <w:ilvl w:val="0"/>
          <w:numId w:val="0"/>
        </w:numPr>
        <w:ind w:firstLine="643" w:firstLineChars="200"/>
        <w:rPr>
          <w:rFonts w:hint="eastAsia" w:ascii="仿宋_GB2312" w:hAnsi="宋体" w:eastAsia="仿宋_GB2312"/>
          <w:color w:val="auto"/>
          <w:sz w:val="32"/>
          <w:szCs w:val="32"/>
          <w:highlight w:val="none"/>
        </w:rPr>
      </w:pPr>
      <w:r>
        <w:rPr>
          <w:rFonts w:hint="eastAsia" w:ascii="仿宋_GB2312" w:hAnsi="宋体" w:eastAsia="仿宋_GB2312"/>
          <w:b/>
          <w:bCs/>
          <w:color w:val="auto"/>
          <w:sz w:val="32"/>
          <w:szCs w:val="32"/>
          <w:highlight w:val="none"/>
        </w:rPr>
        <w:t>推进法治政府建设。</w:t>
      </w:r>
      <w:r>
        <w:rPr>
          <w:rFonts w:hint="eastAsia" w:ascii="仿宋_GB2312" w:hAnsi="仿宋_GB2312" w:eastAsia="仿宋_GB2312" w:cs="仿宋_GB2312"/>
          <w:color w:val="auto"/>
          <w:sz w:val="32"/>
          <w:szCs w:val="32"/>
          <w:highlight w:val="none"/>
          <w:lang w:val="en-US" w:eastAsia="zh-CN"/>
        </w:rPr>
        <w:t>深入贯彻习近平法治思想，加强党对全面依法治区的领导，一体推进法治台儿庄、法治政府、法治社会建设。落实政府常务会议学法制度，深化党政主要负责人述法工作。完善府院联动工作机制。健</w:t>
      </w:r>
      <w:r>
        <w:rPr>
          <w:rFonts w:hint="eastAsia" w:ascii="仿宋_GB2312" w:hAnsi="仿宋_GB2312" w:eastAsia="仿宋_GB2312" w:cs="仿宋_GB2312"/>
          <w:color w:val="auto"/>
          <w:kern w:val="2"/>
          <w:sz w:val="32"/>
          <w:szCs w:val="32"/>
          <w:highlight w:val="none"/>
          <w:lang w:val="en-US" w:eastAsia="zh-CN" w:bidi="ar-SA"/>
        </w:rPr>
        <w:t>全重大行政决策制度体系</w:t>
      </w:r>
      <w:r>
        <w:rPr>
          <w:rFonts w:hint="eastAsia" w:ascii="仿宋_GB2312" w:hAnsi="宋体" w:eastAsia="仿宋_GB2312"/>
          <w:b w:val="0"/>
          <w:bCs w:val="0"/>
          <w:color w:val="auto"/>
          <w:sz w:val="32"/>
          <w:szCs w:val="32"/>
          <w:highlight w:val="none"/>
        </w:rPr>
        <w:t>，严格履行重大行政决策程序。发挥司法机关专业优势和行政机关组织优势，健全行政复议、行政诉讼决策程序，推动行政复议与仲裁、法律援助、行政调解等工作有效衔接，促进法治政府建设水平和司法工作水平“双提高”。用好人民调解、律师、法律援助等资源，进一步提高行政调解及行政应诉工作专业化水平，加大调解适用比率，以更高站位推动行政争议实质性化解。聚焦经济社会发展新实践、新业态，进一步加强行业性、专业性人民调解组织规范化建设，提升调处工作实效</w:t>
      </w:r>
      <w:r>
        <w:rPr>
          <w:rFonts w:hint="eastAsia" w:ascii="仿宋_GB2312" w:hAnsi="宋体" w:eastAsia="仿宋_GB2312"/>
          <w:color w:val="auto"/>
          <w:sz w:val="32"/>
          <w:szCs w:val="32"/>
          <w:highlight w:val="none"/>
        </w:rPr>
        <w:t>。</w:t>
      </w:r>
    </w:p>
    <w:p w14:paraId="52B2AFEF">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宋体" w:eastAsia="仿宋_GB2312"/>
          <w:color w:val="auto"/>
          <w:sz w:val="32"/>
          <w:szCs w:val="32"/>
          <w:highlight w:val="none"/>
        </w:rPr>
      </w:pPr>
      <w:r>
        <w:rPr>
          <w:rFonts w:hint="eastAsia" w:ascii="仿宋_GB2312" w:hAnsi="宋体" w:eastAsia="仿宋_GB2312"/>
          <w:b/>
          <w:bCs/>
          <w:color w:val="auto"/>
          <w:sz w:val="32"/>
          <w:szCs w:val="32"/>
          <w:highlight w:val="none"/>
        </w:rPr>
        <w:t>完善公共法律服务体系。</w:t>
      </w:r>
      <w:r>
        <w:rPr>
          <w:rFonts w:hint="eastAsia" w:ascii="仿宋_GB2312" w:hAnsi="宋体" w:eastAsia="仿宋_GB2312"/>
          <w:color w:val="auto"/>
          <w:sz w:val="32"/>
          <w:szCs w:val="32"/>
          <w:highlight w:val="none"/>
        </w:rPr>
        <w:t>围绕更好满足人民群众对美好生活的向往和日益增长的法律服务需求，加快建设覆盖城乡、便捷高效、均等普惠的现代公共法律服务体系。</w:t>
      </w:r>
      <w:r>
        <w:rPr>
          <w:rFonts w:hint="eastAsia" w:ascii="仿宋_GB2312" w:hAnsi="仿宋_GB2312" w:eastAsia="仿宋_GB2312" w:cs="仿宋_GB2312"/>
          <w:i w:val="0"/>
          <w:iCs w:val="0"/>
          <w:caps w:val="0"/>
          <w:color w:val="auto"/>
          <w:spacing w:val="0"/>
          <w:sz w:val="32"/>
          <w:szCs w:val="32"/>
          <w:highlight w:val="none"/>
          <w:shd w:val="clear" w:color="auto" w:fill="FFFFFF"/>
          <w:lang w:eastAsia="zh-CN"/>
        </w:rPr>
        <w:t>用好用活区公共法律服务中心、镇街公共法律服务站，常态化开展“送法进企业、进乡镇、进集市”等普法宣传活动，推动普法宣传</w:t>
      </w:r>
      <w:r>
        <w:rPr>
          <w:rFonts w:hint="eastAsia" w:ascii="仿宋_GB2312" w:hAnsi="仿宋_GB2312" w:eastAsia="仿宋_GB2312" w:cs="仿宋_GB2312"/>
          <w:i w:val="0"/>
          <w:iCs w:val="0"/>
          <w:caps w:val="0"/>
          <w:color w:val="auto"/>
          <w:spacing w:val="0"/>
          <w:sz w:val="32"/>
          <w:szCs w:val="32"/>
          <w:highlight w:val="none"/>
          <w:shd w:val="clear" w:color="auto" w:fill="FFFFFF"/>
          <w:lang w:val="en-US" w:eastAsia="zh-CN"/>
        </w:rPr>
        <w:t>走深走实</w:t>
      </w:r>
      <w:r>
        <w:rPr>
          <w:rFonts w:hint="eastAsia" w:ascii="仿宋_GB2312" w:hAnsi="仿宋_GB2312" w:eastAsia="仿宋_GB2312" w:cs="仿宋_GB2312"/>
          <w:i w:val="0"/>
          <w:iCs w:val="0"/>
          <w:caps w:val="0"/>
          <w:color w:val="auto"/>
          <w:spacing w:val="0"/>
          <w:sz w:val="32"/>
          <w:szCs w:val="32"/>
          <w:highlight w:val="none"/>
          <w:shd w:val="clear" w:color="auto" w:fill="FFFFFF"/>
          <w:lang w:eastAsia="zh-CN"/>
        </w:rPr>
        <w:t>，夯实基层法治根基</w:t>
      </w:r>
      <w:r>
        <w:rPr>
          <w:rFonts w:hint="eastAsia" w:ascii="仿宋_GB2312" w:hAnsi="宋体" w:eastAsia="仿宋_GB2312"/>
          <w:color w:val="auto"/>
          <w:sz w:val="32"/>
          <w:szCs w:val="32"/>
          <w:highlight w:val="none"/>
        </w:rPr>
        <w:t>。组建以党员律师为主体的“助力中小微企业发展律师服务队”，开展“产业体系+法律服务”“助企暖企”活动，面向企业开展公益法律服务活动。</w:t>
      </w:r>
      <w:r>
        <w:rPr>
          <w:rFonts w:hint="eastAsia" w:ascii="仿宋_GB2312" w:hAnsi="仿宋_GB2312" w:eastAsia="仿宋_GB2312" w:cs="仿宋_GB2312"/>
          <w:i w:val="0"/>
          <w:iCs w:val="0"/>
          <w:caps w:val="0"/>
          <w:color w:val="auto"/>
          <w:spacing w:val="0"/>
          <w:sz w:val="32"/>
          <w:szCs w:val="32"/>
          <w:highlight w:val="none"/>
          <w:shd w:val="clear" w:color="auto" w:fill="FFFFFF"/>
          <w:lang w:eastAsia="zh-CN"/>
        </w:rPr>
        <w:t>建立经济困难标准动态调整机制，降低法律援助门槛，扩大法律援助范围，优化法律援助流程，提升法律援助质量</w:t>
      </w:r>
      <w:r>
        <w:rPr>
          <w:rFonts w:hint="eastAsia" w:ascii="仿宋_GB2312" w:hAnsi="宋体" w:eastAsia="仿宋_GB2312"/>
          <w:color w:val="auto"/>
          <w:sz w:val="32"/>
          <w:szCs w:val="32"/>
          <w:highlight w:val="none"/>
        </w:rPr>
        <w:t>，</w:t>
      </w:r>
      <w:r>
        <w:rPr>
          <w:rFonts w:hint="eastAsia" w:ascii="仿宋_GB2312" w:hAnsi="仿宋_GB2312" w:eastAsia="仿宋_GB2312" w:cs="仿宋_GB2312"/>
          <w:i w:val="0"/>
          <w:iCs w:val="0"/>
          <w:caps w:val="0"/>
          <w:color w:val="auto"/>
          <w:spacing w:val="0"/>
          <w:sz w:val="32"/>
          <w:szCs w:val="32"/>
          <w:highlight w:val="none"/>
          <w:shd w:val="clear" w:color="auto" w:fill="FFFFFF"/>
          <w:lang w:eastAsia="zh-CN"/>
        </w:rPr>
        <w:t>统筹推进公共法律服务实体平台、网络平台等基础设施建设，夯实公共法律服务基础，提升公共法律服务质效</w:t>
      </w:r>
      <w:r>
        <w:rPr>
          <w:rFonts w:hint="eastAsia" w:ascii="仿宋_GB2312" w:hAnsi="宋体" w:eastAsia="仿宋_GB2312"/>
          <w:color w:val="auto"/>
          <w:sz w:val="32"/>
          <w:szCs w:val="32"/>
          <w:highlight w:val="none"/>
        </w:rPr>
        <w:t>。推行“一村一法律顾问”制度，高水平推进村（居）法律顾问全覆盖。</w:t>
      </w:r>
    </w:p>
    <w:p w14:paraId="0F8A33BA">
      <w:pPr>
        <w:pStyle w:val="12"/>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ascii="仿宋_GB2312" w:hAnsi="宋体" w:eastAsia="仿宋_GB2312"/>
          <w:color w:val="auto"/>
          <w:sz w:val="32"/>
          <w:szCs w:val="32"/>
          <w:highlight w:val="none"/>
        </w:rPr>
      </w:pPr>
      <w:r>
        <w:rPr>
          <w:rFonts w:hint="eastAsia" w:ascii="仿宋_GB2312" w:hAnsi="宋体" w:eastAsia="仿宋_GB2312"/>
          <w:b/>
          <w:bCs/>
          <w:color w:val="auto"/>
          <w:sz w:val="32"/>
          <w:szCs w:val="32"/>
          <w:highlight w:val="none"/>
        </w:rPr>
        <w:t>提升执法规范化水平。</w:t>
      </w:r>
      <w:r>
        <w:rPr>
          <w:rFonts w:hint="eastAsia" w:ascii="仿宋_GB2312" w:hAnsi="宋体" w:eastAsia="仿宋_GB2312"/>
          <w:color w:val="auto"/>
          <w:sz w:val="32"/>
          <w:szCs w:val="32"/>
          <w:highlight w:val="none"/>
        </w:rPr>
        <w:t>健全行政执法、监察执法、刑事司法衔接机制，完善执法司法信息共享、案情通报、案件移送制度，切实提升执法规范化水平。聚焦涉企行政检查、行政处罚等关键环节，严格执法管理，做到涉企行政执法既不越位也不缺位，推进严格规范公正文明执法。强化检察监督，加强公益诉讼。持续用好“鲁执法”平台，规范开展涉企行政检查，规范适用裁量权基准，坚决避免以罚代管、类案不同罚等情形。严格规范行政执法程序，强化行政执法案卷管理，积极回应企业、群众诉求，优化执法方式，解决民生难题。</w:t>
      </w:r>
      <w:r>
        <w:rPr>
          <w:rFonts w:hint="eastAsia" w:ascii="仿宋_GB2312" w:hAnsi="仿宋_GB2312" w:eastAsia="仿宋_GB2312" w:cs="仿宋_GB2312"/>
          <w:color w:val="auto"/>
          <w:kern w:val="2"/>
          <w:sz w:val="32"/>
          <w:szCs w:val="32"/>
          <w:highlight w:val="none"/>
          <w:lang w:val="en-US" w:eastAsia="zh-CN" w:bidi="ar-SA"/>
        </w:rPr>
        <w:t>坚持全民守法，完善“谁执法谁普法”责任清单，继续推进法治文化建设，推动形成全社会尊法学法守法用法的良好氛围。</w:t>
      </w:r>
    </w:p>
    <w:p w14:paraId="29F41E56">
      <w:pPr>
        <w:pStyle w:val="12"/>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宋体" w:eastAsia="仿宋_GB2312"/>
          <w:color w:val="auto"/>
          <w:sz w:val="32"/>
          <w:szCs w:val="32"/>
          <w:highlight w:val="none"/>
        </w:rPr>
      </w:pPr>
    </w:p>
    <w:p w14:paraId="5DD7DB81">
      <w:pPr>
        <w:pStyle w:val="5"/>
        <w:pageBreakBefore w:val="0"/>
        <w:widowControl w:val="0"/>
        <w:kinsoku/>
        <w:wordWrap/>
        <w:overflowPunct/>
        <w:topLinePunct w:val="0"/>
        <w:autoSpaceDE/>
        <w:autoSpaceDN/>
        <w:bidi w:val="0"/>
        <w:adjustRightInd w:val="0"/>
        <w:snapToGrid w:val="0"/>
        <w:spacing w:before="240" w:after="240" w:line="600" w:lineRule="exact"/>
        <w:jc w:val="center"/>
        <w:textAlignment w:val="auto"/>
        <w:rPr>
          <w:rFonts w:hint="eastAsia" w:ascii="黑体" w:hAnsi="黑体" w:eastAsia="黑体"/>
          <w:b w:val="0"/>
          <w:bCs w:val="0"/>
          <w:color w:val="auto"/>
          <w:spacing w:val="-20"/>
          <w:sz w:val="32"/>
          <w:szCs w:val="32"/>
          <w:highlight w:val="none"/>
        </w:rPr>
        <w:sectPr>
          <w:footnotePr>
            <w:numFmt w:val="decimalEnclosedCircleChinese"/>
            <w:numRestart w:val="eachPage"/>
          </w:footnotePr>
          <w:pgSz w:w="11906" w:h="16838"/>
          <w:pgMar w:top="1984" w:right="1587" w:bottom="1701" w:left="1587" w:header="851" w:footer="1134" w:gutter="0"/>
          <w:pgNumType w:fmt="numberInDash"/>
          <w:cols w:space="720" w:num="1"/>
          <w:docGrid w:type="lines" w:linePitch="312" w:charSpace="0"/>
        </w:sectPr>
      </w:pPr>
    </w:p>
    <w:p w14:paraId="6722A798">
      <w:pPr>
        <w:pStyle w:val="5"/>
        <w:pageBreakBefore w:val="0"/>
        <w:widowControl w:val="0"/>
        <w:kinsoku/>
        <w:wordWrap/>
        <w:overflowPunct/>
        <w:topLinePunct w:val="0"/>
        <w:autoSpaceDE/>
        <w:autoSpaceDN/>
        <w:bidi w:val="0"/>
        <w:adjustRightInd w:val="0"/>
        <w:snapToGrid w:val="0"/>
        <w:spacing w:before="240" w:after="240" w:line="600" w:lineRule="exact"/>
        <w:jc w:val="center"/>
        <w:textAlignment w:val="auto"/>
        <w:rPr>
          <w:rFonts w:ascii="黑体" w:hAnsi="黑体" w:eastAsia="黑体"/>
          <w:b w:val="0"/>
          <w:bCs w:val="0"/>
          <w:color w:val="auto"/>
          <w:sz w:val="32"/>
          <w:szCs w:val="32"/>
          <w:highlight w:val="none"/>
        </w:rPr>
      </w:pPr>
      <w:bookmarkStart w:id="71" w:name="_Toc16699"/>
      <w:r>
        <w:rPr>
          <w:rFonts w:hint="eastAsia" w:ascii="黑体" w:hAnsi="黑体" w:eastAsia="黑体"/>
          <w:b w:val="0"/>
          <w:bCs w:val="0"/>
          <w:color w:val="auto"/>
          <w:sz w:val="32"/>
          <w:szCs w:val="32"/>
          <w:highlight w:val="none"/>
        </w:rPr>
        <w:t>第十二章 加强规划实施保障，凝心聚力实现“十五五”目标任务</w:t>
      </w:r>
      <w:bookmarkEnd w:id="71"/>
    </w:p>
    <w:p w14:paraId="3CAAF17A">
      <w:pPr>
        <w:pStyle w:val="12"/>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进一步加强党的全面领导，凝聚干事创业合力，健全规划实施机制，确保规划目标任务落地见效，为奋力谱写现代化强区建设新篇章提供坚实保障。</w:t>
      </w:r>
    </w:p>
    <w:p w14:paraId="1FC40D52">
      <w:pPr>
        <w:pStyle w:val="6"/>
        <w:pageBreakBefore w:val="0"/>
        <w:widowControl w:val="0"/>
        <w:kinsoku/>
        <w:wordWrap/>
        <w:overflowPunct/>
        <w:topLinePunct w:val="0"/>
        <w:autoSpaceDE/>
        <w:autoSpaceDN/>
        <w:bidi w:val="0"/>
        <w:textAlignment w:val="auto"/>
        <w:rPr>
          <w:rFonts w:hint="eastAsia"/>
          <w:color w:val="auto"/>
          <w:highlight w:val="none"/>
        </w:rPr>
      </w:pPr>
      <w:bookmarkStart w:id="72" w:name="_Toc15781"/>
      <w:r>
        <w:rPr>
          <w:rFonts w:hint="eastAsia"/>
          <w:color w:val="auto"/>
          <w:highlight w:val="none"/>
        </w:rPr>
        <w:t>第一节 加强党的全面领导</w:t>
      </w:r>
      <w:bookmarkEnd w:id="72"/>
    </w:p>
    <w:p w14:paraId="3F8A3124">
      <w:pPr>
        <w:pStyle w:val="12"/>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坚决维护习近平总书记党中央的核心、全党的核心地位，坚决维护党中央权威和集中统一领导。坚决把习近平总书记重要指示和党中央决策部署落到实处，将党的领导贯穿到经济社会发展各领域和规划实施全过程，以高质量党建引领高质量发展，确保规划实施始终沿着正确政治方向推进。认真落实中央、省、市关于经济社会发展重大事项部署要求，全面贯彻新时代党的组织路线，大力优化干部队伍结构，强化对公权力运行的制约和监督，营造风清气正的良好政治生态。强化明责定位，</w:t>
      </w:r>
      <w:r>
        <w:rPr>
          <w:rFonts w:hint="eastAsia" w:ascii="Times New Roman" w:hAnsi="Times New Roman" w:eastAsia="仿宋_GB2312"/>
          <w:color w:val="auto"/>
          <w:sz w:val="32"/>
          <w:szCs w:val="32"/>
          <w:highlight w:val="none"/>
          <w:lang w:val="en-US" w:eastAsia="zh-CN"/>
        </w:rPr>
        <w:t>区</w:t>
      </w:r>
      <w:r>
        <w:rPr>
          <w:rFonts w:hint="eastAsia" w:ascii="Times New Roman" w:hAnsi="Times New Roman" w:eastAsia="仿宋_GB2312"/>
          <w:color w:val="auto"/>
          <w:sz w:val="32"/>
          <w:szCs w:val="32"/>
          <w:highlight w:val="none"/>
        </w:rPr>
        <w:t>级领</w:t>
      </w:r>
      <w:r>
        <w:rPr>
          <w:rFonts w:hint="eastAsia" w:ascii="Times New Roman" w:hAnsi="Times New Roman" w:eastAsia="仿宋_GB2312"/>
          <w:color w:val="auto"/>
          <w:sz w:val="32"/>
          <w:szCs w:val="32"/>
          <w:highlight w:val="none"/>
          <w:lang w:eastAsia="zh-CN"/>
        </w:rPr>
        <w:t>导做</w:t>
      </w:r>
      <w:r>
        <w:rPr>
          <w:rFonts w:hint="eastAsia" w:ascii="Times New Roman" w:hAnsi="Times New Roman" w:eastAsia="仿宋_GB2312"/>
          <w:color w:val="auto"/>
          <w:sz w:val="32"/>
          <w:szCs w:val="32"/>
          <w:highlight w:val="none"/>
        </w:rPr>
        <w:t>示范表率、做分管领域的“领路人”，部门单位承上启下、做推动落实的“排头兵”，镇街基层扎根一线、做兴镇安民的“主心骨”，国有企业强基赋能、做区域发展的“顶梁柱”，上下各级协同发力，为推动高质量发展筑牢组织根基、提供坚实保障。</w:t>
      </w:r>
    </w:p>
    <w:p w14:paraId="2B05FC20">
      <w:pPr>
        <w:pStyle w:val="6"/>
        <w:pageBreakBefore w:val="0"/>
        <w:widowControl w:val="0"/>
        <w:kinsoku/>
        <w:wordWrap/>
        <w:overflowPunct/>
        <w:topLinePunct w:val="0"/>
        <w:autoSpaceDE/>
        <w:autoSpaceDN/>
        <w:bidi w:val="0"/>
        <w:textAlignment w:val="auto"/>
        <w:rPr>
          <w:rFonts w:hint="eastAsia"/>
          <w:color w:val="auto"/>
          <w:highlight w:val="none"/>
        </w:rPr>
      </w:pPr>
      <w:bookmarkStart w:id="73" w:name="_Toc14129"/>
      <w:r>
        <w:rPr>
          <w:rFonts w:hint="eastAsia"/>
          <w:color w:val="auto"/>
          <w:highlight w:val="none"/>
        </w:rPr>
        <w:t>第二节 建立统一规划体系</w:t>
      </w:r>
      <w:bookmarkEnd w:id="73"/>
    </w:p>
    <w:p w14:paraId="7DCB125A">
      <w:pPr>
        <w:pStyle w:val="12"/>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健全以经济社会发展规划为统领</w:t>
      </w:r>
      <w:r>
        <w:rPr>
          <w:rFonts w:hint="eastAsia" w:ascii="Times New Roman" w:hAnsi="Times New Roman" w:eastAsia="仿宋_GB2312"/>
          <w:color w:val="auto"/>
          <w:sz w:val="32"/>
          <w:szCs w:val="32"/>
          <w:highlight w:val="none"/>
          <w:lang w:eastAsia="zh-CN"/>
        </w:rPr>
        <w:t>，以</w:t>
      </w:r>
      <w:r>
        <w:rPr>
          <w:rFonts w:hint="eastAsia" w:ascii="Times New Roman" w:hAnsi="Times New Roman" w:eastAsia="仿宋_GB2312"/>
          <w:color w:val="auto"/>
          <w:sz w:val="32"/>
          <w:szCs w:val="32"/>
          <w:highlight w:val="none"/>
        </w:rPr>
        <w:t>空间规划为基础、专项规划和镇街规划为支撑，构建</w:t>
      </w:r>
      <w:r>
        <w:rPr>
          <w:rFonts w:ascii="Times New Roman" w:hAnsi="Times New Roman" w:eastAsia="仿宋_GB2312"/>
          <w:color w:val="auto"/>
          <w:sz w:val="32"/>
          <w:szCs w:val="32"/>
          <w:highlight w:val="none"/>
        </w:rPr>
        <w:t>覆盖全域、定位准确、分层管理、分类指导、功能互补、统一衔接、多规合一的规划体系</w:t>
      </w:r>
      <w:r>
        <w:rPr>
          <w:rFonts w:hint="eastAsia" w:ascii="Times New Roman" w:hAnsi="Times New Roman" w:eastAsia="仿宋_GB2312"/>
          <w:color w:val="auto"/>
          <w:sz w:val="32"/>
          <w:szCs w:val="32"/>
          <w:highlight w:val="none"/>
        </w:rPr>
        <w:t>。完善专项规划目录清单和备案管理制度，健全各专项规划、镇街规划与经济社会发展规划衔接协调机制。</w:t>
      </w:r>
      <w:r>
        <w:rPr>
          <w:rFonts w:ascii="Times New Roman" w:hAnsi="Times New Roman" w:eastAsia="仿宋_GB2312"/>
          <w:color w:val="auto"/>
          <w:sz w:val="32"/>
          <w:szCs w:val="32"/>
          <w:highlight w:val="none"/>
        </w:rPr>
        <w:t>加强规划政策协同，</w:t>
      </w:r>
      <w:r>
        <w:rPr>
          <w:rFonts w:hint="eastAsia" w:ascii="Times New Roman" w:hAnsi="Times New Roman" w:eastAsia="仿宋_GB2312"/>
          <w:color w:val="auto"/>
          <w:sz w:val="32"/>
          <w:szCs w:val="32"/>
          <w:highlight w:val="none"/>
        </w:rPr>
        <w:t>健全经济社会发展规划与财政、产业、价格、就业等政策协调和工作协同机制，开展宏观政策取向一致性评估，防止合成谬误。加强规划评估监测、跟踪问效、督促检查，确保各项目标任务顺利实现。</w:t>
      </w:r>
    </w:p>
    <w:p w14:paraId="16C1E8AA">
      <w:pPr>
        <w:pStyle w:val="6"/>
        <w:pageBreakBefore w:val="0"/>
        <w:widowControl w:val="0"/>
        <w:kinsoku/>
        <w:wordWrap/>
        <w:overflowPunct/>
        <w:topLinePunct w:val="0"/>
        <w:autoSpaceDE/>
        <w:autoSpaceDN/>
        <w:bidi w:val="0"/>
        <w:textAlignment w:val="auto"/>
        <w:rPr>
          <w:rFonts w:hint="eastAsia"/>
          <w:color w:val="auto"/>
          <w:highlight w:val="none"/>
        </w:rPr>
      </w:pPr>
      <w:bookmarkStart w:id="74" w:name="_Toc5089"/>
      <w:r>
        <w:rPr>
          <w:rFonts w:hint="eastAsia"/>
          <w:color w:val="auto"/>
          <w:highlight w:val="none"/>
        </w:rPr>
        <w:t>第三节 健全规划实施机制</w:t>
      </w:r>
      <w:bookmarkEnd w:id="74"/>
    </w:p>
    <w:p w14:paraId="2A09F0CB">
      <w:pPr>
        <w:pStyle w:val="12"/>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完善区委常委会、区政府常务会研究规划实施工作机制，定期听取重点任务推进情况汇报，及时解决规划落地中的重大问题。细化制定分工落实方案，推动各级各部门按照职责分工，将规划确定的各项任务纳入本地、本部门工作计划。强化“横向协同”，建立常态化跨部门会商、联合审批、信息共享与执法协作机制，形成齐抓共管合力，保障规划确定的各项目标任务能够高效、协同落地。强化“项目跟着规划走”，推动规划项目布局与要素保障、资源环境、基础设施条件相匹配。财政性资金优先投向规划确定的重大任务、重大项目，优先保障土地、数据、人才、环保、用能等资源要素。创新完善重大项目提级会商、精准服务和跟踪推进办法，用好</w:t>
      </w:r>
      <w:r>
        <w:rPr>
          <w:rFonts w:hint="eastAsia" w:ascii="Times New Roman" w:hAnsi="Times New Roman" w:eastAsia="仿宋_GB2312"/>
          <w:color w:val="auto"/>
          <w:sz w:val="32"/>
          <w:szCs w:val="32"/>
          <w:highlight w:val="none"/>
          <w:lang w:val="en-US" w:eastAsia="zh-CN"/>
        </w:rPr>
        <w:t>区</w:t>
      </w:r>
      <w:r>
        <w:rPr>
          <w:rFonts w:hint="eastAsia" w:ascii="Times New Roman" w:hAnsi="Times New Roman" w:eastAsia="仿宋_GB2312"/>
          <w:color w:val="auto"/>
          <w:sz w:val="32"/>
          <w:szCs w:val="32"/>
          <w:highlight w:val="none"/>
        </w:rPr>
        <w:t>级领导帮包、红黄蓝亮牌等机制，全力破解项目难点堵点问题，以高质量项目建设保障规划高效率实施。</w:t>
      </w:r>
    </w:p>
    <w:p w14:paraId="3DB7CF82">
      <w:pPr>
        <w:pStyle w:val="6"/>
        <w:pageBreakBefore w:val="0"/>
        <w:widowControl w:val="0"/>
        <w:kinsoku/>
        <w:wordWrap/>
        <w:overflowPunct/>
        <w:topLinePunct w:val="0"/>
        <w:autoSpaceDE/>
        <w:autoSpaceDN/>
        <w:bidi w:val="0"/>
        <w:textAlignment w:val="auto"/>
        <w:rPr>
          <w:rFonts w:hint="eastAsia"/>
          <w:color w:val="auto"/>
          <w:highlight w:val="none"/>
        </w:rPr>
      </w:pPr>
      <w:bookmarkStart w:id="75" w:name="_Toc8394"/>
      <w:r>
        <w:rPr>
          <w:rFonts w:hint="eastAsia"/>
          <w:color w:val="auto"/>
          <w:highlight w:val="none"/>
        </w:rPr>
        <w:t>第四节 加强规划实施监督</w:t>
      </w:r>
      <w:bookmarkEnd w:id="75"/>
    </w:p>
    <w:p w14:paraId="00D5209A">
      <w:pPr>
        <w:pStyle w:val="12"/>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健全“长期战略</w:t>
      </w:r>
      <w:r>
        <w:rPr>
          <w:rFonts w:hint="eastAsia" w:ascii="Times New Roman" w:hAnsi="Times New Roman" w:eastAsia="仿宋_GB2312"/>
          <w:color w:val="auto"/>
          <w:sz w:val="32"/>
          <w:szCs w:val="32"/>
          <w:highlight w:val="none"/>
          <w:lang w:val="en-US" w:eastAsia="zh-CN"/>
        </w:rPr>
        <w:t>–</w:t>
      </w:r>
      <w:r>
        <w:rPr>
          <w:rFonts w:hint="eastAsia" w:ascii="Times New Roman" w:hAnsi="Times New Roman" w:eastAsia="仿宋_GB2312"/>
          <w:color w:val="auto"/>
          <w:sz w:val="32"/>
          <w:szCs w:val="32"/>
          <w:highlight w:val="none"/>
        </w:rPr>
        <w:t>发展计划</w:t>
      </w:r>
      <w:r>
        <w:rPr>
          <w:rFonts w:hint="eastAsia" w:ascii="Times New Roman" w:hAnsi="Times New Roman" w:eastAsia="仿宋_GB2312"/>
          <w:color w:val="auto"/>
          <w:sz w:val="32"/>
          <w:szCs w:val="32"/>
          <w:highlight w:val="none"/>
          <w:lang w:val="en-US" w:eastAsia="zh-CN"/>
        </w:rPr>
        <w:t>–</w:t>
      </w:r>
      <w:r>
        <w:rPr>
          <w:rFonts w:hint="eastAsia" w:ascii="Times New Roman" w:hAnsi="Times New Roman" w:eastAsia="仿宋_GB2312"/>
          <w:color w:val="auto"/>
          <w:sz w:val="32"/>
          <w:szCs w:val="32"/>
          <w:highlight w:val="none"/>
        </w:rPr>
        <w:t>年度计划”的体系化推进和闭环落实机制，加强年度目标分解和综合平衡。坚持政府自我评估和社会第三方评估相结合，健全年度监测分析、中期评估、总结评估的全过程动态评估体系，根据国家政策调整、外部环境变化和规划实施进展，按程序对规划进行动态调整。加强规划实施经验总结，收集成功做法，召开经验交流会，及时推广成功经验。</w:t>
      </w:r>
      <w:r>
        <w:rPr>
          <w:rFonts w:ascii="Times New Roman" w:hAnsi="Times New Roman" w:eastAsia="仿宋_GB2312"/>
          <w:color w:val="auto"/>
          <w:sz w:val="32"/>
          <w:szCs w:val="32"/>
          <w:highlight w:val="none"/>
        </w:rPr>
        <w:t>探索创新民主监督形式，及时公开规划实施信息，自觉接受群众监督和舆论监督，营造全社会共同参与和支持规划实施的良好氛围。</w:t>
      </w:r>
    </w:p>
    <w:p w14:paraId="1F4D2927">
      <w:pPr>
        <w:pStyle w:val="12"/>
        <w:adjustRightInd w:val="0"/>
        <w:snapToGrid w:val="0"/>
        <w:spacing w:line="600" w:lineRule="exact"/>
        <w:ind w:firstLine="640" w:firstLineChars="200"/>
        <w:rPr>
          <w:rFonts w:hint="eastAsia" w:ascii="Times New Roman" w:hAnsi="Times New Roman" w:eastAsia="仿宋_GB2312"/>
          <w:color w:val="auto"/>
          <w:sz w:val="32"/>
          <w:szCs w:val="32"/>
          <w:highlight w:val="none"/>
        </w:rPr>
      </w:pPr>
    </w:p>
    <w:sectPr>
      <w:footnotePr>
        <w:numFmt w:val="decimalEnclosedCircleChinese"/>
        <w:numRestart w:val="eachPage"/>
      </w:footnotePr>
      <w:pgSz w:w="11906" w:h="16838"/>
      <w:pgMar w:top="1984" w:right="1587" w:bottom="1701"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B2766">
    <w:pPr>
      <w:pStyle w:val="13"/>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9F6639">
                          <w:pPr>
                            <w:pStyle w:val="13"/>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F9F6639">
                    <w:pPr>
                      <w:pStyle w:val="13"/>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796B1">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8E8E2">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7A8DFA">
                          <w:pPr>
                            <w:pStyle w:val="13"/>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ZIC97LAQAAnAMAAA4AAAAAAAAAAQAgAAAAHgEAAGRycy9lMm9E&#10;b2MueG1sUEsFBgAAAAAGAAYAWQEAAFsFAAAAAA==&#10;">
              <v:fill on="f" focussize="0,0"/>
              <v:stroke on="f"/>
              <v:imagedata o:title=""/>
              <o:lock v:ext="edit" aspectratio="f"/>
              <v:textbox inset="0mm,0mm,0mm,0mm" style="mso-fit-shape-to-text:t;">
                <w:txbxContent>
                  <w:p w14:paraId="397A8DFA">
                    <w:pPr>
                      <w:pStyle w:val="13"/>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E3D21">
    <w:pPr>
      <w:pStyle w:val="1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AD4BD">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7EB9784">
                          <w:pPr>
                            <w:pStyle w:val="13"/>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67EB9784">
                    <w:pPr>
                      <w:pStyle w:val="13"/>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0D0BDCE6">
      <w:pPr>
        <w:pStyle w:val="16"/>
        <w:rPr>
          <w:rFonts w:hint="eastAsia"/>
        </w:rPr>
      </w:pPr>
      <w:r>
        <w:rPr>
          <w:rStyle w:val="26"/>
        </w:rPr>
        <w:footnoteRef/>
      </w:r>
      <w:r>
        <w:t xml:space="preserve"> 研发投入占比高、复合增长率高、市场占有率高、拥有核心知识产权</w:t>
      </w:r>
      <w:r>
        <w:rPr>
          <w:rFonts w:hint="eastAsia"/>
        </w:rPr>
        <w:t>的企业。</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66328">
    <w:pPr>
      <w:pStyle w:val="14"/>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footnotePr>
    <w:numFmt w:val="decimalEnclosedCircleChinese"/>
    <w:numRestart w:val="eachPage"/>
    <w:footnote w:id="2"/>
    <w:footnote w:id="3"/>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NiZTA5YTRjNzk4M2Y4OGZhOWNkNjQzNTRiYzhiZTIifQ=="/>
  </w:docVars>
  <w:rsids>
    <w:rsidRoot w:val="00172A27"/>
    <w:rsid w:val="00002762"/>
    <w:rsid w:val="00003492"/>
    <w:rsid w:val="0000394B"/>
    <w:rsid w:val="00003FBC"/>
    <w:rsid w:val="00006580"/>
    <w:rsid w:val="00006684"/>
    <w:rsid w:val="00006D3C"/>
    <w:rsid w:val="00007CE0"/>
    <w:rsid w:val="00007DCF"/>
    <w:rsid w:val="00011613"/>
    <w:rsid w:val="00011C5B"/>
    <w:rsid w:val="000129C7"/>
    <w:rsid w:val="00012B1C"/>
    <w:rsid w:val="00013DB7"/>
    <w:rsid w:val="0001441F"/>
    <w:rsid w:val="000178A5"/>
    <w:rsid w:val="0002060A"/>
    <w:rsid w:val="00021400"/>
    <w:rsid w:val="00022A0B"/>
    <w:rsid w:val="00023E81"/>
    <w:rsid w:val="00025805"/>
    <w:rsid w:val="00027CCA"/>
    <w:rsid w:val="00030613"/>
    <w:rsid w:val="00030EFD"/>
    <w:rsid w:val="00032279"/>
    <w:rsid w:val="00033C52"/>
    <w:rsid w:val="00034286"/>
    <w:rsid w:val="00035393"/>
    <w:rsid w:val="00036FA2"/>
    <w:rsid w:val="0003770F"/>
    <w:rsid w:val="00040036"/>
    <w:rsid w:val="0004092E"/>
    <w:rsid w:val="00041A00"/>
    <w:rsid w:val="00041DA0"/>
    <w:rsid w:val="0004281C"/>
    <w:rsid w:val="00042C84"/>
    <w:rsid w:val="00043660"/>
    <w:rsid w:val="00044688"/>
    <w:rsid w:val="000447C8"/>
    <w:rsid w:val="00044B20"/>
    <w:rsid w:val="00044B6D"/>
    <w:rsid w:val="00045708"/>
    <w:rsid w:val="00047016"/>
    <w:rsid w:val="000476AA"/>
    <w:rsid w:val="00047DF4"/>
    <w:rsid w:val="000519FC"/>
    <w:rsid w:val="0005206B"/>
    <w:rsid w:val="00053AF9"/>
    <w:rsid w:val="0005550A"/>
    <w:rsid w:val="00056105"/>
    <w:rsid w:val="00057437"/>
    <w:rsid w:val="00057CD3"/>
    <w:rsid w:val="0006197C"/>
    <w:rsid w:val="0006229A"/>
    <w:rsid w:val="000625E5"/>
    <w:rsid w:val="00063278"/>
    <w:rsid w:val="00063987"/>
    <w:rsid w:val="00063F90"/>
    <w:rsid w:val="0006550C"/>
    <w:rsid w:val="0006551F"/>
    <w:rsid w:val="00065BF5"/>
    <w:rsid w:val="00066886"/>
    <w:rsid w:val="00066944"/>
    <w:rsid w:val="00070D2B"/>
    <w:rsid w:val="00071BB6"/>
    <w:rsid w:val="00075984"/>
    <w:rsid w:val="0007691E"/>
    <w:rsid w:val="00080D86"/>
    <w:rsid w:val="00081061"/>
    <w:rsid w:val="00082AE8"/>
    <w:rsid w:val="00082E0E"/>
    <w:rsid w:val="00083EF4"/>
    <w:rsid w:val="00084305"/>
    <w:rsid w:val="000849BF"/>
    <w:rsid w:val="000868F0"/>
    <w:rsid w:val="000879EA"/>
    <w:rsid w:val="000904F5"/>
    <w:rsid w:val="000912A5"/>
    <w:rsid w:val="00091D78"/>
    <w:rsid w:val="00091E75"/>
    <w:rsid w:val="00094D9D"/>
    <w:rsid w:val="00095118"/>
    <w:rsid w:val="00096746"/>
    <w:rsid w:val="00096AE6"/>
    <w:rsid w:val="00097927"/>
    <w:rsid w:val="000A01B4"/>
    <w:rsid w:val="000A02A9"/>
    <w:rsid w:val="000A080D"/>
    <w:rsid w:val="000A1094"/>
    <w:rsid w:val="000A408D"/>
    <w:rsid w:val="000A5308"/>
    <w:rsid w:val="000A78E3"/>
    <w:rsid w:val="000A7E4F"/>
    <w:rsid w:val="000B2961"/>
    <w:rsid w:val="000B306F"/>
    <w:rsid w:val="000B41FD"/>
    <w:rsid w:val="000B5681"/>
    <w:rsid w:val="000B6375"/>
    <w:rsid w:val="000B70DC"/>
    <w:rsid w:val="000B7F3D"/>
    <w:rsid w:val="000C05A8"/>
    <w:rsid w:val="000C0A9A"/>
    <w:rsid w:val="000C0CDD"/>
    <w:rsid w:val="000C14FE"/>
    <w:rsid w:val="000C1DDD"/>
    <w:rsid w:val="000C6067"/>
    <w:rsid w:val="000C63B3"/>
    <w:rsid w:val="000C64AD"/>
    <w:rsid w:val="000C7061"/>
    <w:rsid w:val="000C7D13"/>
    <w:rsid w:val="000D163B"/>
    <w:rsid w:val="000D3746"/>
    <w:rsid w:val="000D5872"/>
    <w:rsid w:val="000D6B0D"/>
    <w:rsid w:val="000E1000"/>
    <w:rsid w:val="000E12AA"/>
    <w:rsid w:val="000E4DB3"/>
    <w:rsid w:val="000E6C6F"/>
    <w:rsid w:val="000E6D78"/>
    <w:rsid w:val="000E71D9"/>
    <w:rsid w:val="000F000E"/>
    <w:rsid w:val="000F0581"/>
    <w:rsid w:val="000F1E87"/>
    <w:rsid w:val="000F3AAF"/>
    <w:rsid w:val="000F409F"/>
    <w:rsid w:val="000F53B9"/>
    <w:rsid w:val="000F53D8"/>
    <w:rsid w:val="000F5941"/>
    <w:rsid w:val="000F61E0"/>
    <w:rsid w:val="000F71FE"/>
    <w:rsid w:val="000F796A"/>
    <w:rsid w:val="00101748"/>
    <w:rsid w:val="00101873"/>
    <w:rsid w:val="00101973"/>
    <w:rsid w:val="00103D0E"/>
    <w:rsid w:val="001046CF"/>
    <w:rsid w:val="00107404"/>
    <w:rsid w:val="00107969"/>
    <w:rsid w:val="00107A4B"/>
    <w:rsid w:val="00107C2E"/>
    <w:rsid w:val="00107E94"/>
    <w:rsid w:val="00111094"/>
    <w:rsid w:val="001110A9"/>
    <w:rsid w:val="00111347"/>
    <w:rsid w:val="001114F5"/>
    <w:rsid w:val="00111E43"/>
    <w:rsid w:val="001120A0"/>
    <w:rsid w:val="00113394"/>
    <w:rsid w:val="00114ADA"/>
    <w:rsid w:val="00115016"/>
    <w:rsid w:val="00116695"/>
    <w:rsid w:val="00122DD4"/>
    <w:rsid w:val="00124143"/>
    <w:rsid w:val="00125667"/>
    <w:rsid w:val="00125E36"/>
    <w:rsid w:val="001266A0"/>
    <w:rsid w:val="001301DB"/>
    <w:rsid w:val="00130B2B"/>
    <w:rsid w:val="00131DCF"/>
    <w:rsid w:val="00133B85"/>
    <w:rsid w:val="0013473D"/>
    <w:rsid w:val="00134D62"/>
    <w:rsid w:val="00134E6B"/>
    <w:rsid w:val="00135CF7"/>
    <w:rsid w:val="00135D64"/>
    <w:rsid w:val="0013613A"/>
    <w:rsid w:val="00136412"/>
    <w:rsid w:val="001401D5"/>
    <w:rsid w:val="00141BDD"/>
    <w:rsid w:val="00141D78"/>
    <w:rsid w:val="00142CDF"/>
    <w:rsid w:val="00143404"/>
    <w:rsid w:val="001439D7"/>
    <w:rsid w:val="0014495C"/>
    <w:rsid w:val="00147AE0"/>
    <w:rsid w:val="0015043D"/>
    <w:rsid w:val="00150ADA"/>
    <w:rsid w:val="00151872"/>
    <w:rsid w:val="00152609"/>
    <w:rsid w:val="00153572"/>
    <w:rsid w:val="00153707"/>
    <w:rsid w:val="00153D75"/>
    <w:rsid w:val="00154858"/>
    <w:rsid w:val="00157485"/>
    <w:rsid w:val="00157C45"/>
    <w:rsid w:val="00160609"/>
    <w:rsid w:val="001610B9"/>
    <w:rsid w:val="00161DE5"/>
    <w:rsid w:val="001625BC"/>
    <w:rsid w:val="00162F01"/>
    <w:rsid w:val="00163008"/>
    <w:rsid w:val="00163E08"/>
    <w:rsid w:val="001649D3"/>
    <w:rsid w:val="00164B62"/>
    <w:rsid w:val="00164FC2"/>
    <w:rsid w:val="00165E32"/>
    <w:rsid w:val="0016684F"/>
    <w:rsid w:val="001676AA"/>
    <w:rsid w:val="00170341"/>
    <w:rsid w:val="00173086"/>
    <w:rsid w:val="00173418"/>
    <w:rsid w:val="00173D90"/>
    <w:rsid w:val="00174F50"/>
    <w:rsid w:val="001755CF"/>
    <w:rsid w:val="00175923"/>
    <w:rsid w:val="00175C71"/>
    <w:rsid w:val="00175EC8"/>
    <w:rsid w:val="001762BB"/>
    <w:rsid w:val="00176330"/>
    <w:rsid w:val="00176F8B"/>
    <w:rsid w:val="001772E7"/>
    <w:rsid w:val="00177C0E"/>
    <w:rsid w:val="0018087C"/>
    <w:rsid w:val="001816C0"/>
    <w:rsid w:val="00183699"/>
    <w:rsid w:val="00183B39"/>
    <w:rsid w:val="001840AD"/>
    <w:rsid w:val="001842FB"/>
    <w:rsid w:val="0018525D"/>
    <w:rsid w:val="0018542C"/>
    <w:rsid w:val="0018562D"/>
    <w:rsid w:val="00185C41"/>
    <w:rsid w:val="00186F42"/>
    <w:rsid w:val="00187C11"/>
    <w:rsid w:val="0019143A"/>
    <w:rsid w:val="001919FE"/>
    <w:rsid w:val="00191A41"/>
    <w:rsid w:val="00191E8B"/>
    <w:rsid w:val="0019272A"/>
    <w:rsid w:val="001928B5"/>
    <w:rsid w:val="001932FD"/>
    <w:rsid w:val="001946F6"/>
    <w:rsid w:val="0019502E"/>
    <w:rsid w:val="00196C50"/>
    <w:rsid w:val="00197C27"/>
    <w:rsid w:val="001A0185"/>
    <w:rsid w:val="001A0247"/>
    <w:rsid w:val="001A051D"/>
    <w:rsid w:val="001A0C32"/>
    <w:rsid w:val="001A13C2"/>
    <w:rsid w:val="001A16D7"/>
    <w:rsid w:val="001A18B6"/>
    <w:rsid w:val="001A2A05"/>
    <w:rsid w:val="001A31FF"/>
    <w:rsid w:val="001A3B61"/>
    <w:rsid w:val="001A48FB"/>
    <w:rsid w:val="001A4B2D"/>
    <w:rsid w:val="001A52BE"/>
    <w:rsid w:val="001A56A5"/>
    <w:rsid w:val="001A6EE0"/>
    <w:rsid w:val="001A7AE8"/>
    <w:rsid w:val="001B1080"/>
    <w:rsid w:val="001B1F07"/>
    <w:rsid w:val="001B2F2F"/>
    <w:rsid w:val="001B34CE"/>
    <w:rsid w:val="001B4F89"/>
    <w:rsid w:val="001B7D46"/>
    <w:rsid w:val="001C0076"/>
    <w:rsid w:val="001C01BC"/>
    <w:rsid w:val="001C0E3E"/>
    <w:rsid w:val="001C0EF2"/>
    <w:rsid w:val="001C158E"/>
    <w:rsid w:val="001C219C"/>
    <w:rsid w:val="001C3832"/>
    <w:rsid w:val="001C3F88"/>
    <w:rsid w:val="001C7061"/>
    <w:rsid w:val="001D02F8"/>
    <w:rsid w:val="001D0E10"/>
    <w:rsid w:val="001D1E07"/>
    <w:rsid w:val="001D2989"/>
    <w:rsid w:val="001D29A7"/>
    <w:rsid w:val="001D2F16"/>
    <w:rsid w:val="001D4FD7"/>
    <w:rsid w:val="001D577D"/>
    <w:rsid w:val="001D607D"/>
    <w:rsid w:val="001D6177"/>
    <w:rsid w:val="001D64F9"/>
    <w:rsid w:val="001D73C6"/>
    <w:rsid w:val="001E0E2A"/>
    <w:rsid w:val="001E1AF9"/>
    <w:rsid w:val="001E25B6"/>
    <w:rsid w:val="001E3467"/>
    <w:rsid w:val="001E3753"/>
    <w:rsid w:val="001E4175"/>
    <w:rsid w:val="001E42AD"/>
    <w:rsid w:val="001E521A"/>
    <w:rsid w:val="001E5E71"/>
    <w:rsid w:val="001E6E93"/>
    <w:rsid w:val="001E7A86"/>
    <w:rsid w:val="001F200C"/>
    <w:rsid w:val="001F23DF"/>
    <w:rsid w:val="00200498"/>
    <w:rsid w:val="00201723"/>
    <w:rsid w:val="00201F3B"/>
    <w:rsid w:val="00202C30"/>
    <w:rsid w:val="00205D6E"/>
    <w:rsid w:val="002066C7"/>
    <w:rsid w:val="00207F34"/>
    <w:rsid w:val="002109E4"/>
    <w:rsid w:val="00211856"/>
    <w:rsid w:val="0021193F"/>
    <w:rsid w:val="00213A86"/>
    <w:rsid w:val="00214633"/>
    <w:rsid w:val="0021492B"/>
    <w:rsid w:val="002158D7"/>
    <w:rsid w:val="00216801"/>
    <w:rsid w:val="0022071A"/>
    <w:rsid w:val="00220724"/>
    <w:rsid w:val="002219B4"/>
    <w:rsid w:val="00221B10"/>
    <w:rsid w:val="002220BA"/>
    <w:rsid w:val="00222DED"/>
    <w:rsid w:val="00223700"/>
    <w:rsid w:val="00223784"/>
    <w:rsid w:val="002251E4"/>
    <w:rsid w:val="00226F5D"/>
    <w:rsid w:val="0022768B"/>
    <w:rsid w:val="002324CE"/>
    <w:rsid w:val="002326AF"/>
    <w:rsid w:val="00232EF5"/>
    <w:rsid w:val="00233482"/>
    <w:rsid w:val="00236050"/>
    <w:rsid w:val="00240D8F"/>
    <w:rsid w:val="00240EA5"/>
    <w:rsid w:val="0024203F"/>
    <w:rsid w:val="002457BC"/>
    <w:rsid w:val="002462AC"/>
    <w:rsid w:val="00246513"/>
    <w:rsid w:val="002519F5"/>
    <w:rsid w:val="0025228B"/>
    <w:rsid w:val="002525F5"/>
    <w:rsid w:val="002530DF"/>
    <w:rsid w:val="0025313C"/>
    <w:rsid w:val="00253918"/>
    <w:rsid w:val="00253EF3"/>
    <w:rsid w:val="00253FB4"/>
    <w:rsid w:val="00254280"/>
    <w:rsid w:val="00255B03"/>
    <w:rsid w:val="002560EF"/>
    <w:rsid w:val="00256C98"/>
    <w:rsid w:val="00256E4F"/>
    <w:rsid w:val="002570BF"/>
    <w:rsid w:val="002605CC"/>
    <w:rsid w:val="00260A90"/>
    <w:rsid w:val="00260CD8"/>
    <w:rsid w:val="002649EF"/>
    <w:rsid w:val="00265544"/>
    <w:rsid w:val="00266090"/>
    <w:rsid w:val="002679BD"/>
    <w:rsid w:val="002706BB"/>
    <w:rsid w:val="002707CB"/>
    <w:rsid w:val="00271563"/>
    <w:rsid w:val="002717BD"/>
    <w:rsid w:val="002736BC"/>
    <w:rsid w:val="00273C66"/>
    <w:rsid w:val="00274742"/>
    <w:rsid w:val="00275536"/>
    <w:rsid w:val="0027625B"/>
    <w:rsid w:val="002826A5"/>
    <w:rsid w:val="00283CDD"/>
    <w:rsid w:val="002849D1"/>
    <w:rsid w:val="00285079"/>
    <w:rsid w:val="00287BD2"/>
    <w:rsid w:val="002908DB"/>
    <w:rsid w:val="00291FB0"/>
    <w:rsid w:val="002933BE"/>
    <w:rsid w:val="002935F8"/>
    <w:rsid w:val="00293BCF"/>
    <w:rsid w:val="00293E37"/>
    <w:rsid w:val="0029637A"/>
    <w:rsid w:val="00296596"/>
    <w:rsid w:val="002971B4"/>
    <w:rsid w:val="00297468"/>
    <w:rsid w:val="00297AE7"/>
    <w:rsid w:val="002A02A4"/>
    <w:rsid w:val="002A1ED7"/>
    <w:rsid w:val="002A2368"/>
    <w:rsid w:val="002A3674"/>
    <w:rsid w:val="002A5199"/>
    <w:rsid w:val="002A5B90"/>
    <w:rsid w:val="002A733C"/>
    <w:rsid w:val="002A7D6B"/>
    <w:rsid w:val="002B028C"/>
    <w:rsid w:val="002B13D2"/>
    <w:rsid w:val="002B1486"/>
    <w:rsid w:val="002B40F9"/>
    <w:rsid w:val="002B50F7"/>
    <w:rsid w:val="002B5CE1"/>
    <w:rsid w:val="002C0206"/>
    <w:rsid w:val="002C124E"/>
    <w:rsid w:val="002C257E"/>
    <w:rsid w:val="002C2C6A"/>
    <w:rsid w:val="002C31C1"/>
    <w:rsid w:val="002C44EA"/>
    <w:rsid w:val="002C504A"/>
    <w:rsid w:val="002C5220"/>
    <w:rsid w:val="002C52B1"/>
    <w:rsid w:val="002C5E89"/>
    <w:rsid w:val="002D3634"/>
    <w:rsid w:val="002D446B"/>
    <w:rsid w:val="002D4C56"/>
    <w:rsid w:val="002D5498"/>
    <w:rsid w:val="002D5D83"/>
    <w:rsid w:val="002D6B25"/>
    <w:rsid w:val="002D782C"/>
    <w:rsid w:val="002E0CD1"/>
    <w:rsid w:val="002E2C90"/>
    <w:rsid w:val="002E3273"/>
    <w:rsid w:val="002E3339"/>
    <w:rsid w:val="002E35BA"/>
    <w:rsid w:val="002E3907"/>
    <w:rsid w:val="002F2B1F"/>
    <w:rsid w:val="002F4258"/>
    <w:rsid w:val="002F460E"/>
    <w:rsid w:val="002F4853"/>
    <w:rsid w:val="002F4F5A"/>
    <w:rsid w:val="002F5B93"/>
    <w:rsid w:val="002F5BD9"/>
    <w:rsid w:val="002F7479"/>
    <w:rsid w:val="002F7F26"/>
    <w:rsid w:val="00300A75"/>
    <w:rsid w:val="00300D03"/>
    <w:rsid w:val="003013BB"/>
    <w:rsid w:val="00301B6C"/>
    <w:rsid w:val="00302AA7"/>
    <w:rsid w:val="00302DB1"/>
    <w:rsid w:val="00303A76"/>
    <w:rsid w:val="003040A4"/>
    <w:rsid w:val="00304DAD"/>
    <w:rsid w:val="00306289"/>
    <w:rsid w:val="00307EB6"/>
    <w:rsid w:val="0031077B"/>
    <w:rsid w:val="00311851"/>
    <w:rsid w:val="00311F18"/>
    <w:rsid w:val="00312102"/>
    <w:rsid w:val="00312BE8"/>
    <w:rsid w:val="00314B8A"/>
    <w:rsid w:val="00315890"/>
    <w:rsid w:val="003168B1"/>
    <w:rsid w:val="00321807"/>
    <w:rsid w:val="00322A61"/>
    <w:rsid w:val="003249AB"/>
    <w:rsid w:val="0032506B"/>
    <w:rsid w:val="00325356"/>
    <w:rsid w:val="00325A12"/>
    <w:rsid w:val="00326017"/>
    <w:rsid w:val="0032766F"/>
    <w:rsid w:val="0033057F"/>
    <w:rsid w:val="00330781"/>
    <w:rsid w:val="003308D0"/>
    <w:rsid w:val="00330956"/>
    <w:rsid w:val="00332AD4"/>
    <w:rsid w:val="00332AD8"/>
    <w:rsid w:val="00332B87"/>
    <w:rsid w:val="0033453A"/>
    <w:rsid w:val="003346F5"/>
    <w:rsid w:val="00334705"/>
    <w:rsid w:val="00334FDE"/>
    <w:rsid w:val="0033518F"/>
    <w:rsid w:val="00335A54"/>
    <w:rsid w:val="003366D0"/>
    <w:rsid w:val="00337CCE"/>
    <w:rsid w:val="0034086D"/>
    <w:rsid w:val="003419B8"/>
    <w:rsid w:val="003419FB"/>
    <w:rsid w:val="0034413D"/>
    <w:rsid w:val="00344E6B"/>
    <w:rsid w:val="0034594E"/>
    <w:rsid w:val="00345C7B"/>
    <w:rsid w:val="00346105"/>
    <w:rsid w:val="0034734E"/>
    <w:rsid w:val="00347A1A"/>
    <w:rsid w:val="00347B82"/>
    <w:rsid w:val="00347E48"/>
    <w:rsid w:val="003500A9"/>
    <w:rsid w:val="00352561"/>
    <w:rsid w:val="00353C96"/>
    <w:rsid w:val="003545AB"/>
    <w:rsid w:val="00355470"/>
    <w:rsid w:val="00355485"/>
    <w:rsid w:val="00355860"/>
    <w:rsid w:val="003558AA"/>
    <w:rsid w:val="0035681A"/>
    <w:rsid w:val="003578F3"/>
    <w:rsid w:val="0036263A"/>
    <w:rsid w:val="00362DFE"/>
    <w:rsid w:val="00363417"/>
    <w:rsid w:val="0036397E"/>
    <w:rsid w:val="00363F99"/>
    <w:rsid w:val="00364517"/>
    <w:rsid w:val="00364687"/>
    <w:rsid w:val="00364A97"/>
    <w:rsid w:val="00365392"/>
    <w:rsid w:val="00366649"/>
    <w:rsid w:val="003667F6"/>
    <w:rsid w:val="00370F37"/>
    <w:rsid w:val="0037147C"/>
    <w:rsid w:val="0037190B"/>
    <w:rsid w:val="00373C52"/>
    <w:rsid w:val="00374602"/>
    <w:rsid w:val="00374B18"/>
    <w:rsid w:val="00374D24"/>
    <w:rsid w:val="003777AE"/>
    <w:rsid w:val="0038011B"/>
    <w:rsid w:val="00381880"/>
    <w:rsid w:val="00382774"/>
    <w:rsid w:val="00384542"/>
    <w:rsid w:val="003858D3"/>
    <w:rsid w:val="003859E6"/>
    <w:rsid w:val="00385C45"/>
    <w:rsid w:val="00386F5A"/>
    <w:rsid w:val="00387DB5"/>
    <w:rsid w:val="00390D3A"/>
    <w:rsid w:val="003912B7"/>
    <w:rsid w:val="00391AA7"/>
    <w:rsid w:val="00392963"/>
    <w:rsid w:val="00392B3A"/>
    <w:rsid w:val="0039307F"/>
    <w:rsid w:val="0039336E"/>
    <w:rsid w:val="0039370A"/>
    <w:rsid w:val="003937DA"/>
    <w:rsid w:val="00394EAE"/>
    <w:rsid w:val="00395CC8"/>
    <w:rsid w:val="0039644A"/>
    <w:rsid w:val="003A00BA"/>
    <w:rsid w:val="003A0D8C"/>
    <w:rsid w:val="003A1BA0"/>
    <w:rsid w:val="003A2B7B"/>
    <w:rsid w:val="003A38AC"/>
    <w:rsid w:val="003A440C"/>
    <w:rsid w:val="003A5AC5"/>
    <w:rsid w:val="003A6B45"/>
    <w:rsid w:val="003A7A09"/>
    <w:rsid w:val="003B29CD"/>
    <w:rsid w:val="003B37D6"/>
    <w:rsid w:val="003B3CD2"/>
    <w:rsid w:val="003B5D32"/>
    <w:rsid w:val="003B613D"/>
    <w:rsid w:val="003B750D"/>
    <w:rsid w:val="003B7848"/>
    <w:rsid w:val="003B78EC"/>
    <w:rsid w:val="003C0EF3"/>
    <w:rsid w:val="003C35A1"/>
    <w:rsid w:val="003C5604"/>
    <w:rsid w:val="003C5AE7"/>
    <w:rsid w:val="003C6612"/>
    <w:rsid w:val="003C6648"/>
    <w:rsid w:val="003C68EC"/>
    <w:rsid w:val="003C7995"/>
    <w:rsid w:val="003D2D00"/>
    <w:rsid w:val="003D2D84"/>
    <w:rsid w:val="003D5618"/>
    <w:rsid w:val="003D7F39"/>
    <w:rsid w:val="003E04C3"/>
    <w:rsid w:val="003E08B7"/>
    <w:rsid w:val="003E0983"/>
    <w:rsid w:val="003E14C8"/>
    <w:rsid w:val="003E214D"/>
    <w:rsid w:val="003E22FC"/>
    <w:rsid w:val="003E310E"/>
    <w:rsid w:val="003E336B"/>
    <w:rsid w:val="003E3B17"/>
    <w:rsid w:val="003E49CE"/>
    <w:rsid w:val="003E635D"/>
    <w:rsid w:val="003E7284"/>
    <w:rsid w:val="003E7D0D"/>
    <w:rsid w:val="003F03E7"/>
    <w:rsid w:val="003F425B"/>
    <w:rsid w:val="003F51B9"/>
    <w:rsid w:val="003F6C13"/>
    <w:rsid w:val="003F7D64"/>
    <w:rsid w:val="00400818"/>
    <w:rsid w:val="00400975"/>
    <w:rsid w:val="00401303"/>
    <w:rsid w:val="00401705"/>
    <w:rsid w:val="00401C50"/>
    <w:rsid w:val="00402AEF"/>
    <w:rsid w:val="00403B30"/>
    <w:rsid w:val="004045DE"/>
    <w:rsid w:val="00404F69"/>
    <w:rsid w:val="004054BC"/>
    <w:rsid w:val="004069B6"/>
    <w:rsid w:val="0041032A"/>
    <w:rsid w:val="0041080E"/>
    <w:rsid w:val="00412F91"/>
    <w:rsid w:val="004130A9"/>
    <w:rsid w:val="00415070"/>
    <w:rsid w:val="004150F0"/>
    <w:rsid w:val="0041518D"/>
    <w:rsid w:val="00415C4D"/>
    <w:rsid w:val="00416248"/>
    <w:rsid w:val="00417D2E"/>
    <w:rsid w:val="00420C26"/>
    <w:rsid w:val="004217FC"/>
    <w:rsid w:val="00422EA1"/>
    <w:rsid w:val="00423398"/>
    <w:rsid w:val="004237CA"/>
    <w:rsid w:val="004243F7"/>
    <w:rsid w:val="00424C26"/>
    <w:rsid w:val="00425B26"/>
    <w:rsid w:val="00425B2F"/>
    <w:rsid w:val="00427DAF"/>
    <w:rsid w:val="00430C9F"/>
    <w:rsid w:val="00432524"/>
    <w:rsid w:val="004329D0"/>
    <w:rsid w:val="00432C96"/>
    <w:rsid w:val="00432E52"/>
    <w:rsid w:val="0043320D"/>
    <w:rsid w:val="00434131"/>
    <w:rsid w:val="004405E5"/>
    <w:rsid w:val="00441D73"/>
    <w:rsid w:val="0044374C"/>
    <w:rsid w:val="00445B77"/>
    <w:rsid w:val="00446370"/>
    <w:rsid w:val="00446C92"/>
    <w:rsid w:val="0044760F"/>
    <w:rsid w:val="00450367"/>
    <w:rsid w:val="00452F71"/>
    <w:rsid w:val="00452F7C"/>
    <w:rsid w:val="004548CA"/>
    <w:rsid w:val="00455854"/>
    <w:rsid w:val="00455D61"/>
    <w:rsid w:val="00455E54"/>
    <w:rsid w:val="00456292"/>
    <w:rsid w:val="00456776"/>
    <w:rsid w:val="00456FAE"/>
    <w:rsid w:val="0046007D"/>
    <w:rsid w:val="00461864"/>
    <w:rsid w:val="004628A8"/>
    <w:rsid w:val="00462A99"/>
    <w:rsid w:val="00463791"/>
    <w:rsid w:val="00463992"/>
    <w:rsid w:val="004650B8"/>
    <w:rsid w:val="00465935"/>
    <w:rsid w:val="00465CA9"/>
    <w:rsid w:val="004661DA"/>
    <w:rsid w:val="004662BA"/>
    <w:rsid w:val="00467D40"/>
    <w:rsid w:val="00470AD7"/>
    <w:rsid w:val="00471EB8"/>
    <w:rsid w:val="00474DB2"/>
    <w:rsid w:val="004751C8"/>
    <w:rsid w:val="004760F1"/>
    <w:rsid w:val="00477815"/>
    <w:rsid w:val="0048125A"/>
    <w:rsid w:val="00483781"/>
    <w:rsid w:val="00483EB2"/>
    <w:rsid w:val="0048491C"/>
    <w:rsid w:val="00485375"/>
    <w:rsid w:val="00485ABB"/>
    <w:rsid w:val="00491D19"/>
    <w:rsid w:val="00492138"/>
    <w:rsid w:val="004921C5"/>
    <w:rsid w:val="0049295C"/>
    <w:rsid w:val="00492C16"/>
    <w:rsid w:val="00494361"/>
    <w:rsid w:val="00494799"/>
    <w:rsid w:val="0049490E"/>
    <w:rsid w:val="00494F71"/>
    <w:rsid w:val="004954E7"/>
    <w:rsid w:val="004A074D"/>
    <w:rsid w:val="004A1A24"/>
    <w:rsid w:val="004A3E58"/>
    <w:rsid w:val="004A4036"/>
    <w:rsid w:val="004A4B4A"/>
    <w:rsid w:val="004A6782"/>
    <w:rsid w:val="004A6957"/>
    <w:rsid w:val="004A6AEC"/>
    <w:rsid w:val="004A74AA"/>
    <w:rsid w:val="004A7723"/>
    <w:rsid w:val="004B072D"/>
    <w:rsid w:val="004B09B0"/>
    <w:rsid w:val="004B288D"/>
    <w:rsid w:val="004B2D8B"/>
    <w:rsid w:val="004B394A"/>
    <w:rsid w:val="004B4423"/>
    <w:rsid w:val="004B4821"/>
    <w:rsid w:val="004B484A"/>
    <w:rsid w:val="004B4D61"/>
    <w:rsid w:val="004B5339"/>
    <w:rsid w:val="004B6D04"/>
    <w:rsid w:val="004B71C6"/>
    <w:rsid w:val="004B7AAE"/>
    <w:rsid w:val="004C10FA"/>
    <w:rsid w:val="004C44E6"/>
    <w:rsid w:val="004C5283"/>
    <w:rsid w:val="004C5296"/>
    <w:rsid w:val="004C58B9"/>
    <w:rsid w:val="004C621D"/>
    <w:rsid w:val="004C713F"/>
    <w:rsid w:val="004C7A59"/>
    <w:rsid w:val="004D307D"/>
    <w:rsid w:val="004D3202"/>
    <w:rsid w:val="004D3F28"/>
    <w:rsid w:val="004D65F0"/>
    <w:rsid w:val="004D664A"/>
    <w:rsid w:val="004D7A21"/>
    <w:rsid w:val="004D7ABE"/>
    <w:rsid w:val="004E31C6"/>
    <w:rsid w:val="004E4060"/>
    <w:rsid w:val="004E4063"/>
    <w:rsid w:val="004E45B0"/>
    <w:rsid w:val="004E4788"/>
    <w:rsid w:val="004E5665"/>
    <w:rsid w:val="004E71AE"/>
    <w:rsid w:val="004E7E5A"/>
    <w:rsid w:val="004F0BA7"/>
    <w:rsid w:val="004F0DF0"/>
    <w:rsid w:val="004F511D"/>
    <w:rsid w:val="004F55EC"/>
    <w:rsid w:val="004F5C92"/>
    <w:rsid w:val="004F5D62"/>
    <w:rsid w:val="004F6456"/>
    <w:rsid w:val="004F7567"/>
    <w:rsid w:val="004F76A7"/>
    <w:rsid w:val="00500AE4"/>
    <w:rsid w:val="0050133F"/>
    <w:rsid w:val="00502107"/>
    <w:rsid w:val="005033E2"/>
    <w:rsid w:val="00503A2B"/>
    <w:rsid w:val="0050433B"/>
    <w:rsid w:val="00504CE9"/>
    <w:rsid w:val="005078DD"/>
    <w:rsid w:val="00507DB8"/>
    <w:rsid w:val="0051008A"/>
    <w:rsid w:val="00511EFF"/>
    <w:rsid w:val="00512F7C"/>
    <w:rsid w:val="005152D0"/>
    <w:rsid w:val="0051559E"/>
    <w:rsid w:val="00516516"/>
    <w:rsid w:val="00516F0A"/>
    <w:rsid w:val="00522867"/>
    <w:rsid w:val="0052353B"/>
    <w:rsid w:val="0052402E"/>
    <w:rsid w:val="00524301"/>
    <w:rsid w:val="00526B34"/>
    <w:rsid w:val="005277F2"/>
    <w:rsid w:val="00531259"/>
    <w:rsid w:val="005322BE"/>
    <w:rsid w:val="00532D32"/>
    <w:rsid w:val="0053314B"/>
    <w:rsid w:val="00533382"/>
    <w:rsid w:val="00533E47"/>
    <w:rsid w:val="005341D7"/>
    <w:rsid w:val="00536616"/>
    <w:rsid w:val="00536CCD"/>
    <w:rsid w:val="005409C0"/>
    <w:rsid w:val="00540D8F"/>
    <w:rsid w:val="00542619"/>
    <w:rsid w:val="005433B2"/>
    <w:rsid w:val="00543985"/>
    <w:rsid w:val="005449DB"/>
    <w:rsid w:val="005455AF"/>
    <w:rsid w:val="00546AB6"/>
    <w:rsid w:val="00546C46"/>
    <w:rsid w:val="005476D5"/>
    <w:rsid w:val="005479BC"/>
    <w:rsid w:val="0055025D"/>
    <w:rsid w:val="00550B12"/>
    <w:rsid w:val="00551371"/>
    <w:rsid w:val="005516FF"/>
    <w:rsid w:val="005536A6"/>
    <w:rsid w:val="005536C4"/>
    <w:rsid w:val="005557D7"/>
    <w:rsid w:val="005557F5"/>
    <w:rsid w:val="0055580E"/>
    <w:rsid w:val="00557CA4"/>
    <w:rsid w:val="00561070"/>
    <w:rsid w:val="0056189C"/>
    <w:rsid w:val="005626EE"/>
    <w:rsid w:val="00562D3A"/>
    <w:rsid w:val="005639E2"/>
    <w:rsid w:val="00563C53"/>
    <w:rsid w:val="00564271"/>
    <w:rsid w:val="00567616"/>
    <w:rsid w:val="00567A67"/>
    <w:rsid w:val="00567F02"/>
    <w:rsid w:val="00570E77"/>
    <w:rsid w:val="00571569"/>
    <w:rsid w:val="00571E48"/>
    <w:rsid w:val="00572122"/>
    <w:rsid w:val="0057263F"/>
    <w:rsid w:val="00572B71"/>
    <w:rsid w:val="0057352B"/>
    <w:rsid w:val="00573B2C"/>
    <w:rsid w:val="00573ECC"/>
    <w:rsid w:val="00574815"/>
    <w:rsid w:val="0057508D"/>
    <w:rsid w:val="0057518C"/>
    <w:rsid w:val="00575E37"/>
    <w:rsid w:val="00576E9E"/>
    <w:rsid w:val="00577954"/>
    <w:rsid w:val="005801C5"/>
    <w:rsid w:val="00580A07"/>
    <w:rsid w:val="00581FBA"/>
    <w:rsid w:val="00582156"/>
    <w:rsid w:val="00582DA4"/>
    <w:rsid w:val="00583241"/>
    <w:rsid w:val="005842FC"/>
    <w:rsid w:val="0058477D"/>
    <w:rsid w:val="00584EBB"/>
    <w:rsid w:val="00587094"/>
    <w:rsid w:val="0059004F"/>
    <w:rsid w:val="0059047A"/>
    <w:rsid w:val="005915AF"/>
    <w:rsid w:val="005921E4"/>
    <w:rsid w:val="00592410"/>
    <w:rsid w:val="00593658"/>
    <w:rsid w:val="00593A44"/>
    <w:rsid w:val="00593E2C"/>
    <w:rsid w:val="00594065"/>
    <w:rsid w:val="00594693"/>
    <w:rsid w:val="005965A7"/>
    <w:rsid w:val="00597961"/>
    <w:rsid w:val="005A05A9"/>
    <w:rsid w:val="005A15AE"/>
    <w:rsid w:val="005A1C96"/>
    <w:rsid w:val="005A2A54"/>
    <w:rsid w:val="005A348E"/>
    <w:rsid w:val="005A39DD"/>
    <w:rsid w:val="005A3DDB"/>
    <w:rsid w:val="005A5598"/>
    <w:rsid w:val="005A6197"/>
    <w:rsid w:val="005A6595"/>
    <w:rsid w:val="005A696F"/>
    <w:rsid w:val="005B082F"/>
    <w:rsid w:val="005B0AA3"/>
    <w:rsid w:val="005B0F29"/>
    <w:rsid w:val="005B118A"/>
    <w:rsid w:val="005B282B"/>
    <w:rsid w:val="005B2938"/>
    <w:rsid w:val="005B3576"/>
    <w:rsid w:val="005B36D9"/>
    <w:rsid w:val="005B3BDB"/>
    <w:rsid w:val="005B5F62"/>
    <w:rsid w:val="005B6015"/>
    <w:rsid w:val="005C128F"/>
    <w:rsid w:val="005C12F4"/>
    <w:rsid w:val="005C17E3"/>
    <w:rsid w:val="005C1F28"/>
    <w:rsid w:val="005C3679"/>
    <w:rsid w:val="005C3742"/>
    <w:rsid w:val="005C39EC"/>
    <w:rsid w:val="005C55AE"/>
    <w:rsid w:val="005C61D1"/>
    <w:rsid w:val="005D0D24"/>
    <w:rsid w:val="005D179B"/>
    <w:rsid w:val="005D28AC"/>
    <w:rsid w:val="005D3A61"/>
    <w:rsid w:val="005D3B19"/>
    <w:rsid w:val="005D4078"/>
    <w:rsid w:val="005D4480"/>
    <w:rsid w:val="005D51B2"/>
    <w:rsid w:val="005D540A"/>
    <w:rsid w:val="005D5432"/>
    <w:rsid w:val="005D5530"/>
    <w:rsid w:val="005D5F46"/>
    <w:rsid w:val="005D6BD9"/>
    <w:rsid w:val="005E054B"/>
    <w:rsid w:val="005E156C"/>
    <w:rsid w:val="005E2DA8"/>
    <w:rsid w:val="005E30A9"/>
    <w:rsid w:val="005E4AF3"/>
    <w:rsid w:val="005F0CBB"/>
    <w:rsid w:val="005F19FE"/>
    <w:rsid w:val="005F1C90"/>
    <w:rsid w:val="005F5D92"/>
    <w:rsid w:val="005F6488"/>
    <w:rsid w:val="005F71F8"/>
    <w:rsid w:val="005F7A5B"/>
    <w:rsid w:val="00600CFE"/>
    <w:rsid w:val="00601334"/>
    <w:rsid w:val="006016E9"/>
    <w:rsid w:val="00610803"/>
    <w:rsid w:val="0061144B"/>
    <w:rsid w:val="00612624"/>
    <w:rsid w:val="006134E6"/>
    <w:rsid w:val="00613F8B"/>
    <w:rsid w:val="006142BC"/>
    <w:rsid w:val="00615FD6"/>
    <w:rsid w:val="00621805"/>
    <w:rsid w:val="00624A7F"/>
    <w:rsid w:val="0062515D"/>
    <w:rsid w:val="00625443"/>
    <w:rsid w:val="0062544D"/>
    <w:rsid w:val="006262C7"/>
    <w:rsid w:val="006265F2"/>
    <w:rsid w:val="00626FAC"/>
    <w:rsid w:val="00627E6F"/>
    <w:rsid w:val="00630183"/>
    <w:rsid w:val="00632400"/>
    <w:rsid w:val="00632CCC"/>
    <w:rsid w:val="00633972"/>
    <w:rsid w:val="00633A3F"/>
    <w:rsid w:val="00637449"/>
    <w:rsid w:val="00637E2F"/>
    <w:rsid w:val="006402AF"/>
    <w:rsid w:val="00641906"/>
    <w:rsid w:val="006425F6"/>
    <w:rsid w:val="00643CD1"/>
    <w:rsid w:val="00644AA2"/>
    <w:rsid w:val="0064599F"/>
    <w:rsid w:val="00645D1C"/>
    <w:rsid w:val="00645D2C"/>
    <w:rsid w:val="00645EAA"/>
    <w:rsid w:val="00646493"/>
    <w:rsid w:val="00651513"/>
    <w:rsid w:val="00655C65"/>
    <w:rsid w:val="00656395"/>
    <w:rsid w:val="00657BF2"/>
    <w:rsid w:val="0066363F"/>
    <w:rsid w:val="00666E6B"/>
    <w:rsid w:val="00666FDF"/>
    <w:rsid w:val="006672B2"/>
    <w:rsid w:val="006675A4"/>
    <w:rsid w:val="00670026"/>
    <w:rsid w:val="00671264"/>
    <w:rsid w:val="0067126D"/>
    <w:rsid w:val="0067164E"/>
    <w:rsid w:val="006716A2"/>
    <w:rsid w:val="00673021"/>
    <w:rsid w:val="00675DEC"/>
    <w:rsid w:val="00675FA0"/>
    <w:rsid w:val="006807A8"/>
    <w:rsid w:val="00682714"/>
    <w:rsid w:val="006837E3"/>
    <w:rsid w:val="006851DC"/>
    <w:rsid w:val="00685B0C"/>
    <w:rsid w:val="00686746"/>
    <w:rsid w:val="00686AF5"/>
    <w:rsid w:val="0069024F"/>
    <w:rsid w:val="00690B50"/>
    <w:rsid w:val="00695007"/>
    <w:rsid w:val="00695761"/>
    <w:rsid w:val="00695C73"/>
    <w:rsid w:val="0069620D"/>
    <w:rsid w:val="0069733B"/>
    <w:rsid w:val="00697DF9"/>
    <w:rsid w:val="006A0B05"/>
    <w:rsid w:val="006A100C"/>
    <w:rsid w:val="006A105E"/>
    <w:rsid w:val="006A116B"/>
    <w:rsid w:val="006A1558"/>
    <w:rsid w:val="006A41C2"/>
    <w:rsid w:val="006A5435"/>
    <w:rsid w:val="006A5BA4"/>
    <w:rsid w:val="006A5E23"/>
    <w:rsid w:val="006A6162"/>
    <w:rsid w:val="006A70B1"/>
    <w:rsid w:val="006A7FC8"/>
    <w:rsid w:val="006B04F3"/>
    <w:rsid w:val="006B0FE6"/>
    <w:rsid w:val="006B1C25"/>
    <w:rsid w:val="006B2ED9"/>
    <w:rsid w:val="006B540A"/>
    <w:rsid w:val="006B63E2"/>
    <w:rsid w:val="006B7571"/>
    <w:rsid w:val="006B7D77"/>
    <w:rsid w:val="006C108A"/>
    <w:rsid w:val="006C20EF"/>
    <w:rsid w:val="006C3314"/>
    <w:rsid w:val="006C460E"/>
    <w:rsid w:val="006C64BE"/>
    <w:rsid w:val="006C64C6"/>
    <w:rsid w:val="006C7E39"/>
    <w:rsid w:val="006D015F"/>
    <w:rsid w:val="006D1F02"/>
    <w:rsid w:val="006D245B"/>
    <w:rsid w:val="006D5F82"/>
    <w:rsid w:val="006E11EB"/>
    <w:rsid w:val="006E12B5"/>
    <w:rsid w:val="006E1AA5"/>
    <w:rsid w:val="006E239D"/>
    <w:rsid w:val="006E2B49"/>
    <w:rsid w:val="006E2B5B"/>
    <w:rsid w:val="006E2F34"/>
    <w:rsid w:val="006E326E"/>
    <w:rsid w:val="006E39F2"/>
    <w:rsid w:val="006E47A3"/>
    <w:rsid w:val="006E50C1"/>
    <w:rsid w:val="006E5748"/>
    <w:rsid w:val="006E6411"/>
    <w:rsid w:val="006F084C"/>
    <w:rsid w:val="006F14A8"/>
    <w:rsid w:val="006F1CAB"/>
    <w:rsid w:val="006F1DC7"/>
    <w:rsid w:val="006F2499"/>
    <w:rsid w:val="006F30EA"/>
    <w:rsid w:val="006F4CD4"/>
    <w:rsid w:val="006F5601"/>
    <w:rsid w:val="006F5B8E"/>
    <w:rsid w:val="006F6745"/>
    <w:rsid w:val="0070170B"/>
    <w:rsid w:val="00701B4A"/>
    <w:rsid w:val="00701EE3"/>
    <w:rsid w:val="00702BA3"/>
    <w:rsid w:val="0070318C"/>
    <w:rsid w:val="00704F15"/>
    <w:rsid w:val="0070541E"/>
    <w:rsid w:val="00705CCB"/>
    <w:rsid w:val="007078EB"/>
    <w:rsid w:val="00710388"/>
    <w:rsid w:val="00710919"/>
    <w:rsid w:val="007122F5"/>
    <w:rsid w:val="0071233C"/>
    <w:rsid w:val="00712A55"/>
    <w:rsid w:val="007138C3"/>
    <w:rsid w:val="00713E36"/>
    <w:rsid w:val="00714962"/>
    <w:rsid w:val="00716650"/>
    <w:rsid w:val="00720D7E"/>
    <w:rsid w:val="00720E75"/>
    <w:rsid w:val="00722AFD"/>
    <w:rsid w:val="00723719"/>
    <w:rsid w:val="00724281"/>
    <w:rsid w:val="00724DA9"/>
    <w:rsid w:val="00725203"/>
    <w:rsid w:val="007259D8"/>
    <w:rsid w:val="007278CC"/>
    <w:rsid w:val="00730AD3"/>
    <w:rsid w:val="007317D1"/>
    <w:rsid w:val="00732794"/>
    <w:rsid w:val="00732859"/>
    <w:rsid w:val="007347E8"/>
    <w:rsid w:val="007350E7"/>
    <w:rsid w:val="0073793F"/>
    <w:rsid w:val="007400A7"/>
    <w:rsid w:val="007407A6"/>
    <w:rsid w:val="00743164"/>
    <w:rsid w:val="0074446B"/>
    <w:rsid w:val="00744B05"/>
    <w:rsid w:val="0074581F"/>
    <w:rsid w:val="0074596D"/>
    <w:rsid w:val="00745A16"/>
    <w:rsid w:val="007467FA"/>
    <w:rsid w:val="007502ED"/>
    <w:rsid w:val="00750FB3"/>
    <w:rsid w:val="00752A73"/>
    <w:rsid w:val="00752C39"/>
    <w:rsid w:val="00754EB5"/>
    <w:rsid w:val="007560F7"/>
    <w:rsid w:val="00756D3D"/>
    <w:rsid w:val="0075710A"/>
    <w:rsid w:val="00757E19"/>
    <w:rsid w:val="007623BC"/>
    <w:rsid w:val="00762D75"/>
    <w:rsid w:val="00766344"/>
    <w:rsid w:val="00766C9E"/>
    <w:rsid w:val="00767D8A"/>
    <w:rsid w:val="0077066A"/>
    <w:rsid w:val="00771B54"/>
    <w:rsid w:val="007721F3"/>
    <w:rsid w:val="00773334"/>
    <w:rsid w:val="00774F30"/>
    <w:rsid w:val="00775B05"/>
    <w:rsid w:val="007818CD"/>
    <w:rsid w:val="00781D86"/>
    <w:rsid w:val="0078219C"/>
    <w:rsid w:val="0078457E"/>
    <w:rsid w:val="007848BB"/>
    <w:rsid w:val="00784FD6"/>
    <w:rsid w:val="00785BF7"/>
    <w:rsid w:val="00787077"/>
    <w:rsid w:val="007873E6"/>
    <w:rsid w:val="00787C9D"/>
    <w:rsid w:val="00787F77"/>
    <w:rsid w:val="0079009A"/>
    <w:rsid w:val="007951B2"/>
    <w:rsid w:val="00795E8B"/>
    <w:rsid w:val="007977CD"/>
    <w:rsid w:val="007A02C2"/>
    <w:rsid w:val="007A2063"/>
    <w:rsid w:val="007A2B44"/>
    <w:rsid w:val="007A2FA1"/>
    <w:rsid w:val="007A39AD"/>
    <w:rsid w:val="007A44F9"/>
    <w:rsid w:val="007A4AF2"/>
    <w:rsid w:val="007A55C1"/>
    <w:rsid w:val="007A687B"/>
    <w:rsid w:val="007A6BC1"/>
    <w:rsid w:val="007A71D8"/>
    <w:rsid w:val="007A772A"/>
    <w:rsid w:val="007B04E0"/>
    <w:rsid w:val="007B0C76"/>
    <w:rsid w:val="007B1FA0"/>
    <w:rsid w:val="007B3ADD"/>
    <w:rsid w:val="007B67AB"/>
    <w:rsid w:val="007B6CE5"/>
    <w:rsid w:val="007B775E"/>
    <w:rsid w:val="007B7803"/>
    <w:rsid w:val="007B7DB0"/>
    <w:rsid w:val="007C02E6"/>
    <w:rsid w:val="007C1190"/>
    <w:rsid w:val="007C15A4"/>
    <w:rsid w:val="007C202B"/>
    <w:rsid w:val="007C3E5A"/>
    <w:rsid w:val="007C4A01"/>
    <w:rsid w:val="007C5A7B"/>
    <w:rsid w:val="007C6C89"/>
    <w:rsid w:val="007C7433"/>
    <w:rsid w:val="007D2C6F"/>
    <w:rsid w:val="007D40B3"/>
    <w:rsid w:val="007D52EE"/>
    <w:rsid w:val="007D6163"/>
    <w:rsid w:val="007D6610"/>
    <w:rsid w:val="007D7CFF"/>
    <w:rsid w:val="007D7D55"/>
    <w:rsid w:val="007E04FA"/>
    <w:rsid w:val="007E0668"/>
    <w:rsid w:val="007E0F22"/>
    <w:rsid w:val="007E2308"/>
    <w:rsid w:val="007E2F83"/>
    <w:rsid w:val="007E3231"/>
    <w:rsid w:val="007E3A0E"/>
    <w:rsid w:val="007E4B31"/>
    <w:rsid w:val="007E5600"/>
    <w:rsid w:val="007E59B4"/>
    <w:rsid w:val="007E5FFF"/>
    <w:rsid w:val="007E6772"/>
    <w:rsid w:val="007F1F5F"/>
    <w:rsid w:val="007F2024"/>
    <w:rsid w:val="007F2C26"/>
    <w:rsid w:val="007F2D56"/>
    <w:rsid w:val="007F310D"/>
    <w:rsid w:val="007F3834"/>
    <w:rsid w:val="007F51E9"/>
    <w:rsid w:val="007F7A5F"/>
    <w:rsid w:val="007F7C07"/>
    <w:rsid w:val="0080120A"/>
    <w:rsid w:val="00801372"/>
    <w:rsid w:val="008013A9"/>
    <w:rsid w:val="00804B42"/>
    <w:rsid w:val="0080521D"/>
    <w:rsid w:val="0080638D"/>
    <w:rsid w:val="008065A3"/>
    <w:rsid w:val="00807F08"/>
    <w:rsid w:val="008118DB"/>
    <w:rsid w:val="008143CF"/>
    <w:rsid w:val="0081481E"/>
    <w:rsid w:val="008148CF"/>
    <w:rsid w:val="00815D28"/>
    <w:rsid w:val="008167BE"/>
    <w:rsid w:val="00820735"/>
    <w:rsid w:val="008213D4"/>
    <w:rsid w:val="00822899"/>
    <w:rsid w:val="00822E9C"/>
    <w:rsid w:val="00824CB0"/>
    <w:rsid w:val="00825374"/>
    <w:rsid w:val="00825A6F"/>
    <w:rsid w:val="0082617A"/>
    <w:rsid w:val="00826934"/>
    <w:rsid w:val="00826D27"/>
    <w:rsid w:val="00826D80"/>
    <w:rsid w:val="00830BC6"/>
    <w:rsid w:val="0083181E"/>
    <w:rsid w:val="00831F2B"/>
    <w:rsid w:val="008324AE"/>
    <w:rsid w:val="0083274E"/>
    <w:rsid w:val="00832B2F"/>
    <w:rsid w:val="00833032"/>
    <w:rsid w:val="008337FE"/>
    <w:rsid w:val="00834939"/>
    <w:rsid w:val="00834AB8"/>
    <w:rsid w:val="00834B27"/>
    <w:rsid w:val="0083545C"/>
    <w:rsid w:val="00836181"/>
    <w:rsid w:val="008401F0"/>
    <w:rsid w:val="008403C1"/>
    <w:rsid w:val="00840537"/>
    <w:rsid w:val="00840B4D"/>
    <w:rsid w:val="00841463"/>
    <w:rsid w:val="00842CEB"/>
    <w:rsid w:val="008439FA"/>
    <w:rsid w:val="00844075"/>
    <w:rsid w:val="00844CE4"/>
    <w:rsid w:val="00845489"/>
    <w:rsid w:val="00845494"/>
    <w:rsid w:val="008454C6"/>
    <w:rsid w:val="0084550A"/>
    <w:rsid w:val="0085080B"/>
    <w:rsid w:val="00850824"/>
    <w:rsid w:val="00850AEB"/>
    <w:rsid w:val="00850D91"/>
    <w:rsid w:val="00851DED"/>
    <w:rsid w:val="00852931"/>
    <w:rsid w:val="00852C68"/>
    <w:rsid w:val="00853FA4"/>
    <w:rsid w:val="00854474"/>
    <w:rsid w:val="0085656A"/>
    <w:rsid w:val="00857325"/>
    <w:rsid w:val="008602B4"/>
    <w:rsid w:val="00861D5B"/>
    <w:rsid w:val="00862FF2"/>
    <w:rsid w:val="008640FB"/>
    <w:rsid w:val="008641AE"/>
    <w:rsid w:val="00864226"/>
    <w:rsid w:val="00864DE3"/>
    <w:rsid w:val="00865E72"/>
    <w:rsid w:val="00866A5D"/>
    <w:rsid w:val="00870E7F"/>
    <w:rsid w:val="008710FD"/>
    <w:rsid w:val="008712CE"/>
    <w:rsid w:val="008712ED"/>
    <w:rsid w:val="00873813"/>
    <w:rsid w:val="008751CA"/>
    <w:rsid w:val="00875354"/>
    <w:rsid w:val="00875973"/>
    <w:rsid w:val="00877485"/>
    <w:rsid w:val="00881FC1"/>
    <w:rsid w:val="00883CF0"/>
    <w:rsid w:val="00883E5E"/>
    <w:rsid w:val="0088430C"/>
    <w:rsid w:val="0088594B"/>
    <w:rsid w:val="0088698F"/>
    <w:rsid w:val="00886F56"/>
    <w:rsid w:val="00887458"/>
    <w:rsid w:val="00892AF8"/>
    <w:rsid w:val="00894031"/>
    <w:rsid w:val="008940E1"/>
    <w:rsid w:val="00896B77"/>
    <w:rsid w:val="00897C44"/>
    <w:rsid w:val="008A19C4"/>
    <w:rsid w:val="008A1FFC"/>
    <w:rsid w:val="008A260F"/>
    <w:rsid w:val="008A285A"/>
    <w:rsid w:val="008A2C67"/>
    <w:rsid w:val="008A4268"/>
    <w:rsid w:val="008A450E"/>
    <w:rsid w:val="008A5F4C"/>
    <w:rsid w:val="008A7591"/>
    <w:rsid w:val="008A7DDC"/>
    <w:rsid w:val="008B0B39"/>
    <w:rsid w:val="008B2899"/>
    <w:rsid w:val="008B3B67"/>
    <w:rsid w:val="008B3D74"/>
    <w:rsid w:val="008B7066"/>
    <w:rsid w:val="008B77FB"/>
    <w:rsid w:val="008B7DFD"/>
    <w:rsid w:val="008B7EDC"/>
    <w:rsid w:val="008C2612"/>
    <w:rsid w:val="008C3BC5"/>
    <w:rsid w:val="008C57E6"/>
    <w:rsid w:val="008D073C"/>
    <w:rsid w:val="008D1797"/>
    <w:rsid w:val="008D3331"/>
    <w:rsid w:val="008D33B7"/>
    <w:rsid w:val="008D36DC"/>
    <w:rsid w:val="008D3E18"/>
    <w:rsid w:val="008D4E99"/>
    <w:rsid w:val="008D7EAC"/>
    <w:rsid w:val="008E0CB5"/>
    <w:rsid w:val="008E32BC"/>
    <w:rsid w:val="008E360F"/>
    <w:rsid w:val="008E5238"/>
    <w:rsid w:val="008E528B"/>
    <w:rsid w:val="008E5308"/>
    <w:rsid w:val="008E541D"/>
    <w:rsid w:val="008E5506"/>
    <w:rsid w:val="008E5732"/>
    <w:rsid w:val="008E7F8D"/>
    <w:rsid w:val="008F142C"/>
    <w:rsid w:val="008F181B"/>
    <w:rsid w:val="008F3638"/>
    <w:rsid w:val="008F439D"/>
    <w:rsid w:val="008F67F4"/>
    <w:rsid w:val="008F6DE4"/>
    <w:rsid w:val="008F7BA4"/>
    <w:rsid w:val="008F7EF6"/>
    <w:rsid w:val="009000B1"/>
    <w:rsid w:val="00901C17"/>
    <w:rsid w:val="00903D00"/>
    <w:rsid w:val="00903DA8"/>
    <w:rsid w:val="00904BB2"/>
    <w:rsid w:val="0090531B"/>
    <w:rsid w:val="00905649"/>
    <w:rsid w:val="00905B4F"/>
    <w:rsid w:val="00905E8C"/>
    <w:rsid w:val="00905F78"/>
    <w:rsid w:val="00906844"/>
    <w:rsid w:val="0091054C"/>
    <w:rsid w:val="009111FE"/>
    <w:rsid w:val="0091303E"/>
    <w:rsid w:val="00913A3D"/>
    <w:rsid w:val="00914066"/>
    <w:rsid w:val="00914494"/>
    <w:rsid w:val="00914F08"/>
    <w:rsid w:val="00915D6C"/>
    <w:rsid w:val="00916F4F"/>
    <w:rsid w:val="00917454"/>
    <w:rsid w:val="00917FBD"/>
    <w:rsid w:val="0092057F"/>
    <w:rsid w:val="00920C94"/>
    <w:rsid w:val="009214BA"/>
    <w:rsid w:val="00921C42"/>
    <w:rsid w:val="00922555"/>
    <w:rsid w:val="00922E74"/>
    <w:rsid w:val="009230FF"/>
    <w:rsid w:val="00925F6D"/>
    <w:rsid w:val="009312F9"/>
    <w:rsid w:val="00932932"/>
    <w:rsid w:val="00933E8E"/>
    <w:rsid w:val="009343EA"/>
    <w:rsid w:val="00935518"/>
    <w:rsid w:val="009370D1"/>
    <w:rsid w:val="00937C40"/>
    <w:rsid w:val="0094265F"/>
    <w:rsid w:val="00944273"/>
    <w:rsid w:val="009450A4"/>
    <w:rsid w:val="009469FA"/>
    <w:rsid w:val="00947052"/>
    <w:rsid w:val="00947799"/>
    <w:rsid w:val="0095052D"/>
    <w:rsid w:val="009507FB"/>
    <w:rsid w:val="00950F45"/>
    <w:rsid w:val="00951AE3"/>
    <w:rsid w:val="00953801"/>
    <w:rsid w:val="00954338"/>
    <w:rsid w:val="00954DF8"/>
    <w:rsid w:val="0095543B"/>
    <w:rsid w:val="009554F4"/>
    <w:rsid w:val="0095712E"/>
    <w:rsid w:val="0095729B"/>
    <w:rsid w:val="00960896"/>
    <w:rsid w:val="00961A36"/>
    <w:rsid w:val="0096419B"/>
    <w:rsid w:val="00965539"/>
    <w:rsid w:val="00965AC5"/>
    <w:rsid w:val="00965C16"/>
    <w:rsid w:val="00966D9D"/>
    <w:rsid w:val="009706A8"/>
    <w:rsid w:val="00970929"/>
    <w:rsid w:val="00970C05"/>
    <w:rsid w:val="009716DB"/>
    <w:rsid w:val="00972C36"/>
    <w:rsid w:val="0097442D"/>
    <w:rsid w:val="00975EE9"/>
    <w:rsid w:val="009762F2"/>
    <w:rsid w:val="00981030"/>
    <w:rsid w:val="00982008"/>
    <w:rsid w:val="00983356"/>
    <w:rsid w:val="00985A22"/>
    <w:rsid w:val="00985B82"/>
    <w:rsid w:val="0098711B"/>
    <w:rsid w:val="00987C0B"/>
    <w:rsid w:val="00987CFB"/>
    <w:rsid w:val="00993724"/>
    <w:rsid w:val="00994CB7"/>
    <w:rsid w:val="0099570C"/>
    <w:rsid w:val="00995842"/>
    <w:rsid w:val="009969CA"/>
    <w:rsid w:val="0099775B"/>
    <w:rsid w:val="009978C4"/>
    <w:rsid w:val="00997B51"/>
    <w:rsid w:val="009A02F0"/>
    <w:rsid w:val="009A0334"/>
    <w:rsid w:val="009A0C47"/>
    <w:rsid w:val="009A0DF5"/>
    <w:rsid w:val="009A1C72"/>
    <w:rsid w:val="009A23D3"/>
    <w:rsid w:val="009A27BC"/>
    <w:rsid w:val="009A505A"/>
    <w:rsid w:val="009A53A0"/>
    <w:rsid w:val="009A5899"/>
    <w:rsid w:val="009A6374"/>
    <w:rsid w:val="009A7480"/>
    <w:rsid w:val="009A76E5"/>
    <w:rsid w:val="009A7721"/>
    <w:rsid w:val="009A7724"/>
    <w:rsid w:val="009B03A5"/>
    <w:rsid w:val="009B1098"/>
    <w:rsid w:val="009B36D2"/>
    <w:rsid w:val="009B38F4"/>
    <w:rsid w:val="009B3A2E"/>
    <w:rsid w:val="009B65BB"/>
    <w:rsid w:val="009B7BBE"/>
    <w:rsid w:val="009C0FCB"/>
    <w:rsid w:val="009C1592"/>
    <w:rsid w:val="009C1A02"/>
    <w:rsid w:val="009C35B6"/>
    <w:rsid w:val="009C4105"/>
    <w:rsid w:val="009C476C"/>
    <w:rsid w:val="009C54F9"/>
    <w:rsid w:val="009C598B"/>
    <w:rsid w:val="009C6059"/>
    <w:rsid w:val="009C6415"/>
    <w:rsid w:val="009C72DF"/>
    <w:rsid w:val="009D2046"/>
    <w:rsid w:val="009D2E8A"/>
    <w:rsid w:val="009D31F8"/>
    <w:rsid w:val="009D5F93"/>
    <w:rsid w:val="009D7224"/>
    <w:rsid w:val="009E0692"/>
    <w:rsid w:val="009E2DE2"/>
    <w:rsid w:val="009E4D32"/>
    <w:rsid w:val="009E5389"/>
    <w:rsid w:val="009E6369"/>
    <w:rsid w:val="009E66E8"/>
    <w:rsid w:val="009E6767"/>
    <w:rsid w:val="009E6F32"/>
    <w:rsid w:val="009E7723"/>
    <w:rsid w:val="009E77B4"/>
    <w:rsid w:val="009E79F2"/>
    <w:rsid w:val="009E7EF4"/>
    <w:rsid w:val="009F06EC"/>
    <w:rsid w:val="009F0AA5"/>
    <w:rsid w:val="009F0DD4"/>
    <w:rsid w:val="009F20D0"/>
    <w:rsid w:val="009F214F"/>
    <w:rsid w:val="009F2709"/>
    <w:rsid w:val="009F2B99"/>
    <w:rsid w:val="009F3A58"/>
    <w:rsid w:val="009F4631"/>
    <w:rsid w:val="009F57D4"/>
    <w:rsid w:val="009F5D69"/>
    <w:rsid w:val="009F66B6"/>
    <w:rsid w:val="009F6985"/>
    <w:rsid w:val="009F70DA"/>
    <w:rsid w:val="00A0086D"/>
    <w:rsid w:val="00A00B5E"/>
    <w:rsid w:val="00A01050"/>
    <w:rsid w:val="00A010F4"/>
    <w:rsid w:val="00A01957"/>
    <w:rsid w:val="00A02C76"/>
    <w:rsid w:val="00A02DF9"/>
    <w:rsid w:val="00A05663"/>
    <w:rsid w:val="00A0716A"/>
    <w:rsid w:val="00A07B76"/>
    <w:rsid w:val="00A109AE"/>
    <w:rsid w:val="00A120CA"/>
    <w:rsid w:val="00A12C9C"/>
    <w:rsid w:val="00A130E1"/>
    <w:rsid w:val="00A16E53"/>
    <w:rsid w:val="00A17286"/>
    <w:rsid w:val="00A17715"/>
    <w:rsid w:val="00A22A71"/>
    <w:rsid w:val="00A232F2"/>
    <w:rsid w:val="00A23C60"/>
    <w:rsid w:val="00A24A1B"/>
    <w:rsid w:val="00A24EC5"/>
    <w:rsid w:val="00A2507D"/>
    <w:rsid w:val="00A25FC5"/>
    <w:rsid w:val="00A26451"/>
    <w:rsid w:val="00A30BFB"/>
    <w:rsid w:val="00A3212A"/>
    <w:rsid w:val="00A337E8"/>
    <w:rsid w:val="00A3424C"/>
    <w:rsid w:val="00A34449"/>
    <w:rsid w:val="00A3533C"/>
    <w:rsid w:val="00A35894"/>
    <w:rsid w:val="00A36CA1"/>
    <w:rsid w:val="00A37033"/>
    <w:rsid w:val="00A370D1"/>
    <w:rsid w:val="00A40770"/>
    <w:rsid w:val="00A42202"/>
    <w:rsid w:val="00A42AB4"/>
    <w:rsid w:val="00A43323"/>
    <w:rsid w:val="00A44427"/>
    <w:rsid w:val="00A4464E"/>
    <w:rsid w:val="00A44B4A"/>
    <w:rsid w:val="00A45256"/>
    <w:rsid w:val="00A46569"/>
    <w:rsid w:val="00A46B0F"/>
    <w:rsid w:val="00A50325"/>
    <w:rsid w:val="00A5175A"/>
    <w:rsid w:val="00A522A2"/>
    <w:rsid w:val="00A5282D"/>
    <w:rsid w:val="00A54CCC"/>
    <w:rsid w:val="00A55E9F"/>
    <w:rsid w:val="00A56665"/>
    <w:rsid w:val="00A566D5"/>
    <w:rsid w:val="00A56FE9"/>
    <w:rsid w:val="00A57B49"/>
    <w:rsid w:val="00A60032"/>
    <w:rsid w:val="00A60214"/>
    <w:rsid w:val="00A61C63"/>
    <w:rsid w:val="00A6283C"/>
    <w:rsid w:val="00A63617"/>
    <w:rsid w:val="00A64FC8"/>
    <w:rsid w:val="00A65109"/>
    <w:rsid w:val="00A65D5C"/>
    <w:rsid w:val="00A67206"/>
    <w:rsid w:val="00A677FC"/>
    <w:rsid w:val="00A70B1E"/>
    <w:rsid w:val="00A71B21"/>
    <w:rsid w:val="00A71B4C"/>
    <w:rsid w:val="00A72785"/>
    <w:rsid w:val="00A74B7C"/>
    <w:rsid w:val="00A75818"/>
    <w:rsid w:val="00A75AFE"/>
    <w:rsid w:val="00A75CD7"/>
    <w:rsid w:val="00A75E30"/>
    <w:rsid w:val="00A76489"/>
    <w:rsid w:val="00A806F8"/>
    <w:rsid w:val="00A809D6"/>
    <w:rsid w:val="00A80DAD"/>
    <w:rsid w:val="00A8127B"/>
    <w:rsid w:val="00A825EF"/>
    <w:rsid w:val="00A82B52"/>
    <w:rsid w:val="00A832D4"/>
    <w:rsid w:val="00A90613"/>
    <w:rsid w:val="00A908D3"/>
    <w:rsid w:val="00A9153A"/>
    <w:rsid w:val="00A94A90"/>
    <w:rsid w:val="00A958F0"/>
    <w:rsid w:val="00A9708D"/>
    <w:rsid w:val="00AA00F5"/>
    <w:rsid w:val="00AA13EE"/>
    <w:rsid w:val="00AA19C5"/>
    <w:rsid w:val="00AA1B53"/>
    <w:rsid w:val="00AA2497"/>
    <w:rsid w:val="00AA35BF"/>
    <w:rsid w:val="00AA37A4"/>
    <w:rsid w:val="00AA52AC"/>
    <w:rsid w:val="00AA587B"/>
    <w:rsid w:val="00AA622D"/>
    <w:rsid w:val="00AA65DA"/>
    <w:rsid w:val="00AB2167"/>
    <w:rsid w:val="00AB2C75"/>
    <w:rsid w:val="00AB5999"/>
    <w:rsid w:val="00AB6C69"/>
    <w:rsid w:val="00AB6D53"/>
    <w:rsid w:val="00AB70B9"/>
    <w:rsid w:val="00AB7857"/>
    <w:rsid w:val="00AC00F2"/>
    <w:rsid w:val="00AC121A"/>
    <w:rsid w:val="00AC14BF"/>
    <w:rsid w:val="00AC19BE"/>
    <w:rsid w:val="00AC1D61"/>
    <w:rsid w:val="00AC24F4"/>
    <w:rsid w:val="00AC2BF7"/>
    <w:rsid w:val="00AC323C"/>
    <w:rsid w:val="00AC3E27"/>
    <w:rsid w:val="00AC72F7"/>
    <w:rsid w:val="00AC779E"/>
    <w:rsid w:val="00AD1914"/>
    <w:rsid w:val="00AD25F2"/>
    <w:rsid w:val="00AD335C"/>
    <w:rsid w:val="00AD5C7F"/>
    <w:rsid w:val="00AD5F98"/>
    <w:rsid w:val="00AD6E3E"/>
    <w:rsid w:val="00AD712A"/>
    <w:rsid w:val="00AE1559"/>
    <w:rsid w:val="00AE1719"/>
    <w:rsid w:val="00AE23F8"/>
    <w:rsid w:val="00AE275C"/>
    <w:rsid w:val="00AE3EC1"/>
    <w:rsid w:val="00AE5EAA"/>
    <w:rsid w:val="00AE6B97"/>
    <w:rsid w:val="00AE6D09"/>
    <w:rsid w:val="00AE7F69"/>
    <w:rsid w:val="00AF1CCB"/>
    <w:rsid w:val="00AF5ABC"/>
    <w:rsid w:val="00AF5FDE"/>
    <w:rsid w:val="00AF6CA8"/>
    <w:rsid w:val="00B00BA5"/>
    <w:rsid w:val="00B014F1"/>
    <w:rsid w:val="00B01E21"/>
    <w:rsid w:val="00B02044"/>
    <w:rsid w:val="00B03188"/>
    <w:rsid w:val="00B05175"/>
    <w:rsid w:val="00B057A8"/>
    <w:rsid w:val="00B0580A"/>
    <w:rsid w:val="00B0625F"/>
    <w:rsid w:val="00B06B36"/>
    <w:rsid w:val="00B070D7"/>
    <w:rsid w:val="00B1025E"/>
    <w:rsid w:val="00B10AF9"/>
    <w:rsid w:val="00B1102F"/>
    <w:rsid w:val="00B112B0"/>
    <w:rsid w:val="00B13202"/>
    <w:rsid w:val="00B14586"/>
    <w:rsid w:val="00B148F4"/>
    <w:rsid w:val="00B17502"/>
    <w:rsid w:val="00B178A9"/>
    <w:rsid w:val="00B17AB5"/>
    <w:rsid w:val="00B20B0D"/>
    <w:rsid w:val="00B21DEA"/>
    <w:rsid w:val="00B22F96"/>
    <w:rsid w:val="00B230AE"/>
    <w:rsid w:val="00B23BF2"/>
    <w:rsid w:val="00B23C66"/>
    <w:rsid w:val="00B24716"/>
    <w:rsid w:val="00B2504E"/>
    <w:rsid w:val="00B257C3"/>
    <w:rsid w:val="00B2696C"/>
    <w:rsid w:val="00B2742D"/>
    <w:rsid w:val="00B30F5A"/>
    <w:rsid w:val="00B3251D"/>
    <w:rsid w:val="00B32EEA"/>
    <w:rsid w:val="00B3469F"/>
    <w:rsid w:val="00B367B3"/>
    <w:rsid w:val="00B372F4"/>
    <w:rsid w:val="00B378C3"/>
    <w:rsid w:val="00B4082A"/>
    <w:rsid w:val="00B40A41"/>
    <w:rsid w:val="00B4474D"/>
    <w:rsid w:val="00B44A02"/>
    <w:rsid w:val="00B45B2C"/>
    <w:rsid w:val="00B4694F"/>
    <w:rsid w:val="00B504E7"/>
    <w:rsid w:val="00B516B0"/>
    <w:rsid w:val="00B52178"/>
    <w:rsid w:val="00B543CE"/>
    <w:rsid w:val="00B56F51"/>
    <w:rsid w:val="00B57A7A"/>
    <w:rsid w:val="00B6002B"/>
    <w:rsid w:val="00B61470"/>
    <w:rsid w:val="00B63C27"/>
    <w:rsid w:val="00B650DC"/>
    <w:rsid w:val="00B66255"/>
    <w:rsid w:val="00B6764E"/>
    <w:rsid w:val="00B67E44"/>
    <w:rsid w:val="00B737F9"/>
    <w:rsid w:val="00B740AB"/>
    <w:rsid w:val="00B74CB5"/>
    <w:rsid w:val="00B74F1C"/>
    <w:rsid w:val="00B750F5"/>
    <w:rsid w:val="00B752F8"/>
    <w:rsid w:val="00B77C91"/>
    <w:rsid w:val="00B80440"/>
    <w:rsid w:val="00B80879"/>
    <w:rsid w:val="00B81325"/>
    <w:rsid w:val="00B81AD2"/>
    <w:rsid w:val="00B820E4"/>
    <w:rsid w:val="00B82188"/>
    <w:rsid w:val="00B8234D"/>
    <w:rsid w:val="00B826E5"/>
    <w:rsid w:val="00B84377"/>
    <w:rsid w:val="00B848A1"/>
    <w:rsid w:val="00B84AAC"/>
    <w:rsid w:val="00B84F43"/>
    <w:rsid w:val="00B85AFF"/>
    <w:rsid w:val="00B86A25"/>
    <w:rsid w:val="00B86F2C"/>
    <w:rsid w:val="00B90A58"/>
    <w:rsid w:val="00B92D07"/>
    <w:rsid w:val="00B9370C"/>
    <w:rsid w:val="00B95C8B"/>
    <w:rsid w:val="00B96000"/>
    <w:rsid w:val="00B97039"/>
    <w:rsid w:val="00B973CE"/>
    <w:rsid w:val="00B97EF4"/>
    <w:rsid w:val="00BA1304"/>
    <w:rsid w:val="00BA199A"/>
    <w:rsid w:val="00BA2CA7"/>
    <w:rsid w:val="00BA2D83"/>
    <w:rsid w:val="00BA3371"/>
    <w:rsid w:val="00BA50DE"/>
    <w:rsid w:val="00BA578C"/>
    <w:rsid w:val="00BA5E2C"/>
    <w:rsid w:val="00BA5E6B"/>
    <w:rsid w:val="00BB0615"/>
    <w:rsid w:val="00BB11C2"/>
    <w:rsid w:val="00BB2776"/>
    <w:rsid w:val="00BB27E3"/>
    <w:rsid w:val="00BB418C"/>
    <w:rsid w:val="00BB4CF4"/>
    <w:rsid w:val="00BC09D9"/>
    <w:rsid w:val="00BC10EF"/>
    <w:rsid w:val="00BC13BC"/>
    <w:rsid w:val="00BC411E"/>
    <w:rsid w:val="00BC4835"/>
    <w:rsid w:val="00BC4F42"/>
    <w:rsid w:val="00BD0BAA"/>
    <w:rsid w:val="00BD140A"/>
    <w:rsid w:val="00BD2919"/>
    <w:rsid w:val="00BD3486"/>
    <w:rsid w:val="00BD4A4B"/>
    <w:rsid w:val="00BD5465"/>
    <w:rsid w:val="00BD59C2"/>
    <w:rsid w:val="00BD5D7A"/>
    <w:rsid w:val="00BD72C0"/>
    <w:rsid w:val="00BD7714"/>
    <w:rsid w:val="00BE02E7"/>
    <w:rsid w:val="00BE324D"/>
    <w:rsid w:val="00BE501F"/>
    <w:rsid w:val="00BE503B"/>
    <w:rsid w:val="00BE5E4A"/>
    <w:rsid w:val="00BE6962"/>
    <w:rsid w:val="00BE78EB"/>
    <w:rsid w:val="00BE7EA3"/>
    <w:rsid w:val="00BE7ED8"/>
    <w:rsid w:val="00BF2D2E"/>
    <w:rsid w:val="00BF5BA7"/>
    <w:rsid w:val="00BF5C11"/>
    <w:rsid w:val="00BF6BAA"/>
    <w:rsid w:val="00BF70D9"/>
    <w:rsid w:val="00BF723B"/>
    <w:rsid w:val="00C00024"/>
    <w:rsid w:val="00C01248"/>
    <w:rsid w:val="00C013DE"/>
    <w:rsid w:val="00C02AAC"/>
    <w:rsid w:val="00C02BC0"/>
    <w:rsid w:val="00C03716"/>
    <w:rsid w:val="00C04139"/>
    <w:rsid w:val="00C04BC7"/>
    <w:rsid w:val="00C057DE"/>
    <w:rsid w:val="00C06157"/>
    <w:rsid w:val="00C06E37"/>
    <w:rsid w:val="00C06F1B"/>
    <w:rsid w:val="00C07381"/>
    <w:rsid w:val="00C10A2E"/>
    <w:rsid w:val="00C113C6"/>
    <w:rsid w:val="00C11A7A"/>
    <w:rsid w:val="00C11AEA"/>
    <w:rsid w:val="00C13562"/>
    <w:rsid w:val="00C14233"/>
    <w:rsid w:val="00C16BD9"/>
    <w:rsid w:val="00C17AC6"/>
    <w:rsid w:val="00C17CEA"/>
    <w:rsid w:val="00C17DAF"/>
    <w:rsid w:val="00C2323F"/>
    <w:rsid w:val="00C24372"/>
    <w:rsid w:val="00C24945"/>
    <w:rsid w:val="00C24EE5"/>
    <w:rsid w:val="00C26C5A"/>
    <w:rsid w:val="00C26EA8"/>
    <w:rsid w:val="00C27E02"/>
    <w:rsid w:val="00C315A6"/>
    <w:rsid w:val="00C320DF"/>
    <w:rsid w:val="00C33913"/>
    <w:rsid w:val="00C33FF1"/>
    <w:rsid w:val="00C34CC0"/>
    <w:rsid w:val="00C34EB9"/>
    <w:rsid w:val="00C34EEC"/>
    <w:rsid w:val="00C35829"/>
    <w:rsid w:val="00C40012"/>
    <w:rsid w:val="00C410C5"/>
    <w:rsid w:val="00C41D5D"/>
    <w:rsid w:val="00C42F3B"/>
    <w:rsid w:val="00C43109"/>
    <w:rsid w:val="00C43199"/>
    <w:rsid w:val="00C44CC7"/>
    <w:rsid w:val="00C45009"/>
    <w:rsid w:val="00C45C20"/>
    <w:rsid w:val="00C45F5A"/>
    <w:rsid w:val="00C46CB1"/>
    <w:rsid w:val="00C47B7F"/>
    <w:rsid w:val="00C504B4"/>
    <w:rsid w:val="00C505A3"/>
    <w:rsid w:val="00C519DD"/>
    <w:rsid w:val="00C52A87"/>
    <w:rsid w:val="00C52AE9"/>
    <w:rsid w:val="00C52F56"/>
    <w:rsid w:val="00C5340A"/>
    <w:rsid w:val="00C53761"/>
    <w:rsid w:val="00C53B0F"/>
    <w:rsid w:val="00C53E34"/>
    <w:rsid w:val="00C5416A"/>
    <w:rsid w:val="00C54370"/>
    <w:rsid w:val="00C547F8"/>
    <w:rsid w:val="00C54965"/>
    <w:rsid w:val="00C54D2B"/>
    <w:rsid w:val="00C55375"/>
    <w:rsid w:val="00C55D4E"/>
    <w:rsid w:val="00C57631"/>
    <w:rsid w:val="00C57C64"/>
    <w:rsid w:val="00C605C5"/>
    <w:rsid w:val="00C64028"/>
    <w:rsid w:val="00C647C1"/>
    <w:rsid w:val="00C655ED"/>
    <w:rsid w:val="00C7191A"/>
    <w:rsid w:val="00C72A9F"/>
    <w:rsid w:val="00C73341"/>
    <w:rsid w:val="00C7548C"/>
    <w:rsid w:val="00C757B8"/>
    <w:rsid w:val="00C75BA4"/>
    <w:rsid w:val="00C771C8"/>
    <w:rsid w:val="00C77783"/>
    <w:rsid w:val="00C8085D"/>
    <w:rsid w:val="00C82DE5"/>
    <w:rsid w:val="00C836B7"/>
    <w:rsid w:val="00C8537B"/>
    <w:rsid w:val="00C85C8F"/>
    <w:rsid w:val="00C87C9D"/>
    <w:rsid w:val="00C92CED"/>
    <w:rsid w:val="00C945D1"/>
    <w:rsid w:val="00C9475E"/>
    <w:rsid w:val="00C94A02"/>
    <w:rsid w:val="00C96C83"/>
    <w:rsid w:val="00C96F89"/>
    <w:rsid w:val="00C971B4"/>
    <w:rsid w:val="00C976FF"/>
    <w:rsid w:val="00CA0DAC"/>
    <w:rsid w:val="00CA1200"/>
    <w:rsid w:val="00CA2184"/>
    <w:rsid w:val="00CA2D15"/>
    <w:rsid w:val="00CA45D9"/>
    <w:rsid w:val="00CA482D"/>
    <w:rsid w:val="00CA49F6"/>
    <w:rsid w:val="00CA55C3"/>
    <w:rsid w:val="00CA5A3B"/>
    <w:rsid w:val="00CA6B8D"/>
    <w:rsid w:val="00CA77E6"/>
    <w:rsid w:val="00CB0031"/>
    <w:rsid w:val="00CB0876"/>
    <w:rsid w:val="00CB0D24"/>
    <w:rsid w:val="00CB196F"/>
    <w:rsid w:val="00CB22DE"/>
    <w:rsid w:val="00CB2F12"/>
    <w:rsid w:val="00CB3680"/>
    <w:rsid w:val="00CB3B80"/>
    <w:rsid w:val="00CB6132"/>
    <w:rsid w:val="00CB61B4"/>
    <w:rsid w:val="00CC2863"/>
    <w:rsid w:val="00CC2F61"/>
    <w:rsid w:val="00CC33F5"/>
    <w:rsid w:val="00CC3671"/>
    <w:rsid w:val="00CC3BA3"/>
    <w:rsid w:val="00CC3C42"/>
    <w:rsid w:val="00CC489A"/>
    <w:rsid w:val="00CC4918"/>
    <w:rsid w:val="00CC537D"/>
    <w:rsid w:val="00CC5E97"/>
    <w:rsid w:val="00CC7099"/>
    <w:rsid w:val="00CC7516"/>
    <w:rsid w:val="00CD0A83"/>
    <w:rsid w:val="00CD148D"/>
    <w:rsid w:val="00CD1CB4"/>
    <w:rsid w:val="00CD32C1"/>
    <w:rsid w:val="00CD41EA"/>
    <w:rsid w:val="00CD527A"/>
    <w:rsid w:val="00CD5713"/>
    <w:rsid w:val="00CD76D6"/>
    <w:rsid w:val="00CD798D"/>
    <w:rsid w:val="00CD7CC1"/>
    <w:rsid w:val="00CE052B"/>
    <w:rsid w:val="00CE0A65"/>
    <w:rsid w:val="00CE21E7"/>
    <w:rsid w:val="00CE3022"/>
    <w:rsid w:val="00CE6D91"/>
    <w:rsid w:val="00CE77CC"/>
    <w:rsid w:val="00CE77FC"/>
    <w:rsid w:val="00CF2531"/>
    <w:rsid w:val="00CF2B37"/>
    <w:rsid w:val="00CF3B91"/>
    <w:rsid w:val="00CF4E1A"/>
    <w:rsid w:val="00CF57B7"/>
    <w:rsid w:val="00CF5FA0"/>
    <w:rsid w:val="00CF62CC"/>
    <w:rsid w:val="00CF63CB"/>
    <w:rsid w:val="00CF7ADC"/>
    <w:rsid w:val="00D00B31"/>
    <w:rsid w:val="00D01ED4"/>
    <w:rsid w:val="00D024DA"/>
    <w:rsid w:val="00D02849"/>
    <w:rsid w:val="00D03617"/>
    <w:rsid w:val="00D036DF"/>
    <w:rsid w:val="00D03BFF"/>
    <w:rsid w:val="00D05107"/>
    <w:rsid w:val="00D113C0"/>
    <w:rsid w:val="00D11735"/>
    <w:rsid w:val="00D121CF"/>
    <w:rsid w:val="00D12A53"/>
    <w:rsid w:val="00D137A0"/>
    <w:rsid w:val="00D1385B"/>
    <w:rsid w:val="00D13E32"/>
    <w:rsid w:val="00D16AC5"/>
    <w:rsid w:val="00D16CD8"/>
    <w:rsid w:val="00D175B0"/>
    <w:rsid w:val="00D219FB"/>
    <w:rsid w:val="00D21F2F"/>
    <w:rsid w:val="00D2220E"/>
    <w:rsid w:val="00D22FB9"/>
    <w:rsid w:val="00D2307F"/>
    <w:rsid w:val="00D23B5D"/>
    <w:rsid w:val="00D259B2"/>
    <w:rsid w:val="00D25AC5"/>
    <w:rsid w:val="00D267AC"/>
    <w:rsid w:val="00D2695A"/>
    <w:rsid w:val="00D26CA2"/>
    <w:rsid w:val="00D31799"/>
    <w:rsid w:val="00D327DF"/>
    <w:rsid w:val="00D33B7A"/>
    <w:rsid w:val="00D34041"/>
    <w:rsid w:val="00D34E22"/>
    <w:rsid w:val="00D357B8"/>
    <w:rsid w:val="00D4020C"/>
    <w:rsid w:val="00D41B0A"/>
    <w:rsid w:val="00D420A1"/>
    <w:rsid w:val="00D42E83"/>
    <w:rsid w:val="00D433F7"/>
    <w:rsid w:val="00D4404B"/>
    <w:rsid w:val="00D44273"/>
    <w:rsid w:val="00D44431"/>
    <w:rsid w:val="00D4593B"/>
    <w:rsid w:val="00D460F9"/>
    <w:rsid w:val="00D46925"/>
    <w:rsid w:val="00D47B4A"/>
    <w:rsid w:val="00D50478"/>
    <w:rsid w:val="00D508E6"/>
    <w:rsid w:val="00D51035"/>
    <w:rsid w:val="00D521B4"/>
    <w:rsid w:val="00D52DB7"/>
    <w:rsid w:val="00D52FFB"/>
    <w:rsid w:val="00D531C4"/>
    <w:rsid w:val="00D56A42"/>
    <w:rsid w:val="00D57029"/>
    <w:rsid w:val="00D60623"/>
    <w:rsid w:val="00D60EDD"/>
    <w:rsid w:val="00D61E2F"/>
    <w:rsid w:val="00D63631"/>
    <w:rsid w:val="00D637D1"/>
    <w:rsid w:val="00D658A1"/>
    <w:rsid w:val="00D65CD3"/>
    <w:rsid w:val="00D66617"/>
    <w:rsid w:val="00D6673F"/>
    <w:rsid w:val="00D6748B"/>
    <w:rsid w:val="00D70E3B"/>
    <w:rsid w:val="00D7126A"/>
    <w:rsid w:val="00D71396"/>
    <w:rsid w:val="00D71B8C"/>
    <w:rsid w:val="00D71F60"/>
    <w:rsid w:val="00D72422"/>
    <w:rsid w:val="00D7290A"/>
    <w:rsid w:val="00D73C50"/>
    <w:rsid w:val="00D74D45"/>
    <w:rsid w:val="00D7587F"/>
    <w:rsid w:val="00D75E58"/>
    <w:rsid w:val="00D76039"/>
    <w:rsid w:val="00D77B58"/>
    <w:rsid w:val="00D8092C"/>
    <w:rsid w:val="00D82793"/>
    <w:rsid w:val="00D83ABE"/>
    <w:rsid w:val="00D844AF"/>
    <w:rsid w:val="00D84C0F"/>
    <w:rsid w:val="00D85EF1"/>
    <w:rsid w:val="00D87B01"/>
    <w:rsid w:val="00D90A91"/>
    <w:rsid w:val="00D919E7"/>
    <w:rsid w:val="00D937B1"/>
    <w:rsid w:val="00D939B9"/>
    <w:rsid w:val="00D949E1"/>
    <w:rsid w:val="00D94C7A"/>
    <w:rsid w:val="00D953B2"/>
    <w:rsid w:val="00DA080B"/>
    <w:rsid w:val="00DA39F6"/>
    <w:rsid w:val="00DA4394"/>
    <w:rsid w:val="00DA5631"/>
    <w:rsid w:val="00DB0E15"/>
    <w:rsid w:val="00DB0EE3"/>
    <w:rsid w:val="00DB180B"/>
    <w:rsid w:val="00DB1816"/>
    <w:rsid w:val="00DB496F"/>
    <w:rsid w:val="00DB49AA"/>
    <w:rsid w:val="00DB6A02"/>
    <w:rsid w:val="00DB6E50"/>
    <w:rsid w:val="00DB7DF5"/>
    <w:rsid w:val="00DB7E88"/>
    <w:rsid w:val="00DB7F74"/>
    <w:rsid w:val="00DC069D"/>
    <w:rsid w:val="00DC13C6"/>
    <w:rsid w:val="00DC1AE8"/>
    <w:rsid w:val="00DC218E"/>
    <w:rsid w:val="00DC2574"/>
    <w:rsid w:val="00DC5D67"/>
    <w:rsid w:val="00DC790D"/>
    <w:rsid w:val="00DD0CF9"/>
    <w:rsid w:val="00DD0EEF"/>
    <w:rsid w:val="00DD1957"/>
    <w:rsid w:val="00DD1D0E"/>
    <w:rsid w:val="00DD2826"/>
    <w:rsid w:val="00DD35A2"/>
    <w:rsid w:val="00DD46BD"/>
    <w:rsid w:val="00DD6122"/>
    <w:rsid w:val="00DD712F"/>
    <w:rsid w:val="00DD7F55"/>
    <w:rsid w:val="00DE02D8"/>
    <w:rsid w:val="00DE039C"/>
    <w:rsid w:val="00DE0EE9"/>
    <w:rsid w:val="00DE1EBE"/>
    <w:rsid w:val="00DE1F52"/>
    <w:rsid w:val="00DE256A"/>
    <w:rsid w:val="00DE3894"/>
    <w:rsid w:val="00DE703F"/>
    <w:rsid w:val="00DF108D"/>
    <w:rsid w:val="00DF2253"/>
    <w:rsid w:val="00DF2E9F"/>
    <w:rsid w:val="00DF5862"/>
    <w:rsid w:val="00DF5D04"/>
    <w:rsid w:val="00DF65D0"/>
    <w:rsid w:val="00E004F3"/>
    <w:rsid w:val="00E03327"/>
    <w:rsid w:val="00E036A8"/>
    <w:rsid w:val="00E03739"/>
    <w:rsid w:val="00E043AF"/>
    <w:rsid w:val="00E050D6"/>
    <w:rsid w:val="00E0531D"/>
    <w:rsid w:val="00E0603D"/>
    <w:rsid w:val="00E0715B"/>
    <w:rsid w:val="00E073DE"/>
    <w:rsid w:val="00E1233F"/>
    <w:rsid w:val="00E12B49"/>
    <w:rsid w:val="00E138E3"/>
    <w:rsid w:val="00E144C6"/>
    <w:rsid w:val="00E17329"/>
    <w:rsid w:val="00E17AFC"/>
    <w:rsid w:val="00E20C36"/>
    <w:rsid w:val="00E22192"/>
    <w:rsid w:val="00E2678B"/>
    <w:rsid w:val="00E26A49"/>
    <w:rsid w:val="00E27620"/>
    <w:rsid w:val="00E27BC9"/>
    <w:rsid w:val="00E30235"/>
    <w:rsid w:val="00E303D7"/>
    <w:rsid w:val="00E30547"/>
    <w:rsid w:val="00E308F0"/>
    <w:rsid w:val="00E309F3"/>
    <w:rsid w:val="00E317F8"/>
    <w:rsid w:val="00E31CD1"/>
    <w:rsid w:val="00E3283A"/>
    <w:rsid w:val="00E332BD"/>
    <w:rsid w:val="00E3334F"/>
    <w:rsid w:val="00E3468B"/>
    <w:rsid w:val="00E36C1C"/>
    <w:rsid w:val="00E375DE"/>
    <w:rsid w:val="00E378EF"/>
    <w:rsid w:val="00E37999"/>
    <w:rsid w:val="00E41451"/>
    <w:rsid w:val="00E430C0"/>
    <w:rsid w:val="00E46072"/>
    <w:rsid w:val="00E4615B"/>
    <w:rsid w:val="00E465FC"/>
    <w:rsid w:val="00E479A4"/>
    <w:rsid w:val="00E504C4"/>
    <w:rsid w:val="00E5175A"/>
    <w:rsid w:val="00E536E8"/>
    <w:rsid w:val="00E54320"/>
    <w:rsid w:val="00E554A9"/>
    <w:rsid w:val="00E571F9"/>
    <w:rsid w:val="00E6186B"/>
    <w:rsid w:val="00E61875"/>
    <w:rsid w:val="00E62F05"/>
    <w:rsid w:val="00E631C6"/>
    <w:rsid w:val="00E6334E"/>
    <w:rsid w:val="00E633DC"/>
    <w:rsid w:val="00E63507"/>
    <w:rsid w:val="00E63526"/>
    <w:rsid w:val="00E64AB5"/>
    <w:rsid w:val="00E65CEC"/>
    <w:rsid w:val="00E6644E"/>
    <w:rsid w:val="00E674D3"/>
    <w:rsid w:val="00E7009F"/>
    <w:rsid w:val="00E74849"/>
    <w:rsid w:val="00E75658"/>
    <w:rsid w:val="00E76EAF"/>
    <w:rsid w:val="00E80B05"/>
    <w:rsid w:val="00E81115"/>
    <w:rsid w:val="00E81CCA"/>
    <w:rsid w:val="00E8211C"/>
    <w:rsid w:val="00E833EF"/>
    <w:rsid w:val="00E87202"/>
    <w:rsid w:val="00E87458"/>
    <w:rsid w:val="00E87DD8"/>
    <w:rsid w:val="00E91481"/>
    <w:rsid w:val="00E91B92"/>
    <w:rsid w:val="00E95A64"/>
    <w:rsid w:val="00E95E20"/>
    <w:rsid w:val="00EA1409"/>
    <w:rsid w:val="00EA181A"/>
    <w:rsid w:val="00EA1BBA"/>
    <w:rsid w:val="00EA207E"/>
    <w:rsid w:val="00EA2D42"/>
    <w:rsid w:val="00EA32AD"/>
    <w:rsid w:val="00EA3FA9"/>
    <w:rsid w:val="00EA4C1D"/>
    <w:rsid w:val="00EA4C49"/>
    <w:rsid w:val="00EA4F48"/>
    <w:rsid w:val="00EA7479"/>
    <w:rsid w:val="00EB0E3F"/>
    <w:rsid w:val="00EB125A"/>
    <w:rsid w:val="00EB2F28"/>
    <w:rsid w:val="00EB4126"/>
    <w:rsid w:val="00EB4D49"/>
    <w:rsid w:val="00EC237B"/>
    <w:rsid w:val="00EC4C36"/>
    <w:rsid w:val="00EC5106"/>
    <w:rsid w:val="00EC6E4B"/>
    <w:rsid w:val="00EC79D1"/>
    <w:rsid w:val="00ED0F56"/>
    <w:rsid w:val="00ED2CA9"/>
    <w:rsid w:val="00ED3110"/>
    <w:rsid w:val="00ED4E8D"/>
    <w:rsid w:val="00ED5E09"/>
    <w:rsid w:val="00ED68BC"/>
    <w:rsid w:val="00EE0B79"/>
    <w:rsid w:val="00EE0DE0"/>
    <w:rsid w:val="00EE11A6"/>
    <w:rsid w:val="00EE1359"/>
    <w:rsid w:val="00EE1DF7"/>
    <w:rsid w:val="00EE1E6D"/>
    <w:rsid w:val="00EE2D7E"/>
    <w:rsid w:val="00EE3131"/>
    <w:rsid w:val="00EE48BD"/>
    <w:rsid w:val="00EE5179"/>
    <w:rsid w:val="00EE5B33"/>
    <w:rsid w:val="00EE6146"/>
    <w:rsid w:val="00EE7F63"/>
    <w:rsid w:val="00EF0255"/>
    <w:rsid w:val="00EF09AA"/>
    <w:rsid w:val="00EF0EC1"/>
    <w:rsid w:val="00EF1503"/>
    <w:rsid w:val="00EF1560"/>
    <w:rsid w:val="00EF1907"/>
    <w:rsid w:val="00EF1B36"/>
    <w:rsid w:val="00EF41BD"/>
    <w:rsid w:val="00EF46B6"/>
    <w:rsid w:val="00EF4B64"/>
    <w:rsid w:val="00EF4C53"/>
    <w:rsid w:val="00EF50C2"/>
    <w:rsid w:val="00EF64F6"/>
    <w:rsid w:val="00EF6E54"/>
    <w:rsid w:val="00F00801"/>
    <w:rsid w:val="00F01B25"/>
    <w:rsid w:val="00F022C9"/>
    <w:rsid w:val="00F02DF8"/>
    <w:rsid w:val="00F038C4"/>
    <w:rsid w:val="00F04737"/>
    <w:rsid w:val="00F04F0B"/>
    <w:rsid w:val="00F06236"/>
    <w:rsid w:val="00F06779"/>
    <w:rsid w:val="00F103DC"/>
    <w:rsid w:val="00F10A1E"/>
    <w:rsid w:val="00F10A3C"/>
    <w:rsid w:val="00F114FA"/>
    <w:rsid w:val="00F13045"/>
    <w:rsid w:val="00F132F6"/>
    <w:rsid w:val="00F132FE"/>
    <w:rsid w:val="00F156AC"/>
    <w:rsid w:val="00F1571E"/>
    <w:rsid w:val="00F1623E"/>
    <w:rsid w:val="00F16E8C"/>
    <w:rsid w:val="00F172EB"/>
    <w:rsid w:val="00F17425"/>
    <w:rsid w:val="00F17C79"/>
    <w:rsid w:val="00F207B4"/>
    <w:rsid w:val="00F20F96"/>
    <w:rsid w:val="00F217FF"/>
    <w:rsid w:val="00F23D5E"/>
    <w:rsid w:val="00F24477"/>
    <w:rsid w:val="00F25B0F"/>
    <w:rsid w:val="00F26955"/>
    <w:rsid w:val="00F27070"/>
    <w:rsid w:val="00F3362A"/>
    <w:rsid w:val="00F349BB"/>
    <w:rsid w:val="00F35617"/>
    <w:rsid w:val="00F35E39"/>
    <w:rsid w:val="00F36AD9"/>
    <w:rsid w:val="00F3719F"/>
    <w:rsid w:val="00F37E18"/>
    <w:rsid w:val="00F37F9A"/>
    <w:rsid w:val="00F407DB"/>
    <w:rsid w:val="00F41233"/>
    <w:rsid w:val="00F42B57"/>
    <w:rsid w:val="00F43872"/>
    <w:rsid w:val="00F43B90"/>
    <w:rsid w:val="00F44E9A"/>
    <w:rsid w:val="00F46934"/>
    <w:rsid w:val="00F46F6F"/>
    <w:rsid w:val="00F476D3"/>
    <w:rsid w:val="00F5034E"/>
    <w:rsid w:val="00F51C28"/>
    <w:rsid w:val="00F52666"/>
    <w:rsid w:val="00F52955"/>
    <w:rsid w:val="00F53FCD"/>
    <w:rsid w:val="00F54113"/>
    <w:rsid w:val="00F54FD2"/>
    <w:rsid w:val="00F5715A"/>
    <w:rsid w:val="00F60288"/>
    <w:rsid w:val="00F6262C"/>
    <w:rsid w:val="00F62947"/>
    <w:rsid w:val="00F62A9C"/>
    <w:rsid w:val="00F62F74"/>
    <w:rsid w:val="00F63B6E"/>
    <w:rsid w:val="00F646AA"/>
    <w:rsid w:val="00F65B8C"/>
    <w:rsid w:val="00F66A0D"/>
    <w:rsid w:val="00F67069"/>
    <w:rsid w:val="00F67BDF"/>
    <w:rsid w:val="00F70F7B"/>
    <w:rsid w:val="00F72946"/>
    <w:rsid w:val="00F73C0A"/>
    <w:rsid w:val="00F740E5"/>
    <w:rsid w:val="00F75827"/>
    <w:rsid w:val="00F758CA"/>
    <w:rsid w:val="00F75971"/>
    <w:rsid w:val="00F75E71"/>
    <w:rsid w:val="00F7610C"/>
    <w:rsid w:val="00F763B9"/>
    <w:rsid w:val="00F77610"/>
    <w:rsid w:val="00F81BE0"/>
    <w:rsid w:val="00F8571E"/>
    <w:rsid w:val="00F907FA"/>
    <w:rsid w:val="00F91698"/>
    <w:rsid w:val="00F940C4"/>
    <w:rsid w:val="00F944BB"/>
    <w:rsid w:val="00FA0587"/>
    <w:rsid w:val="00FA0D99"/>
    <w:rsid w:val="00FA177A"/>
    <w:rsid w:val="00FA2206"/>
    <w:rsid w:val="00FA5663"/>
    <w:rsid w:val="00FA6315"/>
    <w:rsid w:val="00FA7B59"/>
    <w:rsid w:val="00FB03ED"/>
    <w:rsid w:val="00FB103D"/>
    <w:rsid w:val="00FB149B"/>
    <w:rsid w:val="00FB19CB"/>
    <w:rsid w:val="00FB1B6B"/>
    <w:rsid w:val="00FB2ED0"/>
    <w:rsid w:val="00FB402F"/>
    <w:rsid w:val="00FB41CE"/>
    <w:rsid w:val="00FB52EC"/>
    <w:rsid w:val="00FB5A4E"/>
    <w:rsid w:val="00FB5FFB"/>
    <w:rsid w:val="00FB6987"/>
    <w:rsid w:val="00FB6AB7"/>
    <w:rsid w:val="00FC003A"/>
    <w:rsid w:val="00FC0E5C"/>
    <w:rsid w:val="00FC28BD"/>
    <w:rsid w:val="00FC2AB8"/>
    <w:rsid w:val="00FC324B"/>
    <w:rsid w:val="00FC3D40"/>
    <w:rsid w:val="00FC4AD1"/>
    <w:rsid w:val="00FC6BDA"/>
    <w:rsid w:val="00FC7660"/>
    <w:rsid w:val="00FC7A6B"/>
    <w:rsid w:val="00FC7DF7"/>
    <w:rsid w:val="00FD0656"/>
    <w:rsid w:val="00FD0AF9"/>
    <w:rsid w:val="00FD0CEB"/>
    <w:rsid w:val="00FD18B1"/>
    <w:rsid w:val="00FD1F3F"/>
    <w:rsid w:val="00FD36E0"/>
    <w:rsid w:val="00FD3A5F"/>
    <w:rsid w:val="00FD4151"/>
    <w:rsid w:val="00FD573F"/>
    <w:rsid w:val="00FD59D1"/>
    <w:rsid w:val="00FD5E50"/>
    <w:rsid w:val="00FD6A4F"/>
    <w:rsid w:val="00FD6FA9"/>
    <w:rsid w:val="00FD739F"/>
    <w:rsid w:val="00FD7585"/>
    <w:rsid w:val="00FE04F5"/>
    <w:rsid w:val="00FE1BE8"/>
    <w:rsid w:val="00FE36F8"/>
    <w:rsid w:val="00FE6050"/>
    <w:rsid w:val="00FE68B6"/>
    <w:rsid w:val="00FF0419"/>
    <w:rsid w:val="00FF6090"/>
    <w:rsid w:val="00FF66AC"/>
    <w:rsid w:val="00FF6D52"/>
    <w:rsid w:val="00FF79E3"/>
    <w:rsid w:val="00FF7CF3"/>
    <w:rsid w:val="010B2944"/>
    <w:rsid w:val="019D73AC"/>
    <w:rsid w:val="01F40F97"/>
    <w:rsid w:val="02715190"/>
    <w:rsid w:val="028A5AA5"/>
    <w:rsid w:val="02BC6993"/>
    <w:rsid w:val="02BF4340"/>
    <w:rsid w:val="03035935"/>
    <w:rsid w:val="03125B78"/>
    <w:rsid w:val="0328714A"/>
    <w:rsid w:val="0332738A"/>
    <w:rsid w:val="03920A67"/>
    <w:rsid w:val="043E7102"/>
    <w:rsid w:val="044E0E32"/>
    <w:rsid w:val="04602B3A"/>
    <w:rsid w:val="04721A94"/>
    <w:rsid w:val="048C5893"/>
    <w:rsid w:val="0495504A"/>
    <w:rsid w:val="052C7D11"/>
    <w:rsid w:val="056D353A"/>
    <w:rsid w:val="05CA273A"/>
    <w:rsid w:val="05CE48F0"/>
    <w:rsid w:val="0617220C"/>
    <w:rsid w:val="062644C4"/>
    <w:rsid w:val="064E6EC7"/>
    <w:rsid w:val="06BC55A9"/>
    <w:rsid w:val="07195727"/>
    <w:rsid w:val="07441D5E"/>
    <w:rsid w:val="0767791B"/>
    <w:rsid w:val="07DD46FE"/>
    <w:rsid w:val="07F15909"/>
    <w:rsid w:val="081E0596"/>
    <w:rsid w:val="086504F8"/>
    <w:rsid w:val="087F559D"/>
    <w:rsid w:val="089C0CB5"/>
    <w:rsid w:val="092E6F1B"/>
    <w:rsid w:val="092F6E75"/>
    <w:rsid w:val="09412D13"/>
    <w:rsid w:val="097A4477"/>
    <w:rsid w:val="09B434E5"/>
    <w:rsid w:val="09DD7630"/>
    <w:rsid w:val="0A314B36"/>
    <w:rsid w:val="0A434B30"/>
    <w:rsid w:val="0B27454C"/>
    <w:rsid w:val="0C2F7254"/>
    <w:rsid w:val="0C48260B"/>
    <w:rsid w:val="0C7570E3"/>
    <w:rsid w:val="0CE51C08"/>
    <w:rsid w:val="0CEF0CD8"/>
    <w:rsid w:val="0D1600C7"/>
    <w:rsid w:val="0D4E6601"/>
    <w:rsid w:val="0DF742E8"/>
    <w:rsid w:val="0DFD5284"/>
    <w:rsid w:val="0E5E407C"/>
    <w:rsid w:val="0E925DBF"/>
    <w:rsid w:val="0EC56195"/>
    <w:rsid w:val="0F227143"/>
    <w:rsid w:val="0F841895"/>
    <w:rsid w:val="0FDC73D5"/>
    <w:rsid w:val="106F63B8"/>
    <w:rsid w:val="10AD02BD"/>
    <w:rsid w:val="10B34406"/>
    <w:rsid w:val="112F5DC6"/>
    <w:rsid w:val="118626CE"/>
    <w:rsid w:val="11A55E09"/>
    <w:rsid w:val="11CE35B2"/>
    <w:rsid w:val="11D926B4"/>
    <w:rsid w:val="11DD1A47"/>
    <w:rsid w:val="11FA43A7"/>
    <w:rsid w:val="121E3BA7"/>
    <w:rsid w:val="12883761"/>
    <w:rsid w:val="1324792E"/>
    <w:rsid w:val="13516249"/>
    <w:rsid w:val="13A040B0"/>
    <w:rsid w:val="13EC5CD8"/>
    <w:rsid w:val="13F13B40"/>
    <w:rsid w:val="14227994"/>
    <w:rsid w:val="14435965"/>
    <w:rsid w:val="14B33282"/>
    <w:rsid w:val="153E27FD"/>
    <w:rsid w:val="15BB6173"/>
    <w:rsid w:val="160429F3"/>
    <w:rsid w:val="163B4B05"/>
    <w:rsid w:val="16B8031D"/>
    <w:rsid w:val="17654071"/>
    <w:rsid w:val="17872239"/>
    <w:rsid w:val="17B31280"/>
    <w:rsid w:val="17DB4757"/>
    <w:rsid w:val="18452C10"/>
    <w:rsid w:val="188C62F0"/>
    <w:rsid w:val="18A4506D"/>
    <w:rsid w:val="18AE127C"/>
    <w:rsid w:val="18B74DA0"/>
    <w:rsid w:val="18EB4A4A"/>
    <w:rsid w:val="190F0738"/>
    <w:rsid w:val="1934019F"/>
    <w:rsid w:val="194E3A44"/>
    <w:rsid w:val="198039E0"/>
    <w:rsid w:val="1983340D"/>
    <w:rsid w:val="1A144979"/>
    <w:rsid w:val="1A217544"/>
    <w:rsid w:val="1A4C59BC"/>
    <w:rsid w:val="1A4E5A73"/>
    <w:rsid w:val="1A501008"/>
    <w:rsid w:val="1A554870"/>
    <w:rsid w:val="1A661CBA"/>
    <w:rsid w:val="1A9F3D3E"/>
    <w:rsid w:val="1AEE25CF"/>
    <w:rsid w:val="1AFC2F3E"/>
    <w:rsid w:val="1B415BC7"/>
    <w:rsid w:val="1B4B17DD"/>
    <w:rsid w:val="1B594F0F"/>
    <w:rsid w:val="1B7D4618"/>
    <w:rsid w:val="1C1D60AC"/>
    <w:rsid w:val="1C3C1243"/>
    <w:rsid w:val="1C5D5C5E"/>
    <w:rsid w:val="1C7B4FB1"/>
    <w:rsid w:val="1C8E152A"/>
    <w:rsid w:val="1CC45CDD"/>
    <w:rsid w:val="1CFE11EF"/>
    <w:rsid w:val="1D8B67FB"/>
    <w:rsid w:val="1EAE454F"/>
    <w:rsid w:val="1EE63EB8"/>
    <w:rsid w:val="1F4F448E"/>
    <w:rsid w:val="1FDB1249"/>
    <w:rsid w:val="20466C35"/>
    <w:rsid w:val="204B47D7"/>
    <w:rsid w:val="212B69E8"/>
    <w:rsid w:val="21333432"/>
    <w:rsid w:val="21374CD0"/>
    <w:rsid w:val="21DC2CD4"/>
    <w:rsid w:val="21E97B4F"/>
    <w:rsid w:val="22462CF1"/>
    <w:rsid w:val="22812FC5"/>
    <w:rsid w:val="2286616A"/>
    <w:rsid w:val="22965A26"/>
    <w:rsid w:val="22A243CB"/>
    <w:rsid w:val="22B934C3"/>
    <w:rsid w:val="22DF73CD"/>
    <w:rsid w:val="230F4B13"/>
    <w:rsid w:val="23360FB7"/>
    <w:rsid w:val="233A0BA3"/>
    <w:rsid w:val="23910A67"/>
    <w:rsid w:val="23EB6880"/>
    <w:rsid w:val="24491DBC"/>
    <w:rsid w:val="2463402E"/>
    <w:rsid w:val="24757DFA"/>
    <w:rsid w:val="248E1235"/>
    <w:rsid w:val="24A02B8C"/>
    <w:rsid w:val="24EA3E07"/>
    <w:rsid w:val="24FD433F"/>
    <w:rsid w:val="25102B9D"/>
    <w:rsid w:val="261A071C"/>
    <w:rsid w:val="26306192"/>
    <w:rsid w:val="263237A2"/>
    <w:rsid w:val="27427F2B"/>
    <w:rsid w:val="277272C6"/>
    <w:rsid w:val="27A961FC"/>
    <w:rsid w:val="27B5694E"/>
    <w:rsid w:val="27F35666"/>
    <w:rsid w:val="28341F69"/>
    <w:rsid w:val="28382EB6"/>
    <w:rsid w:val="28655BFD"/>
    <w:rsid w:val="289372D6"/>
    <w:rsid w:val="289724F8"/>
    <w:rsid w:val="28C11323"/>
    <w:rsid w:val="28DB7581"/>
    <w:rsid w:val="29946A38"/>
    <w:rsid w:val="299E493C"/>
    <w:rsid w:val="29A46C7B"/>
    <w:rsid w:val="2A0E67EA"/>
    <w:rsid w:val="2A116840"/>
    <w:rsid w:val="2A2D2D9E"/>
    <w:rsid w:val="2AEA270C"/>
    <w:rsid w:val="2B173C13"/>
    <w:rsid w:val="2B770F05"/>
    <w:rsid w:val="2B9A0BF2"/>
    <w:rsid w:val="2BA016C4"/>
    <w:rsid w:val="2BA4347B"/>
    <w:rsid w:val="2BBA09D7"/>
    <w:rsid w:val="2BC46C03"/>
    <w:rsid w:val="2BD051BF"/>
    <w:rsid w:val="2BE97334"/>
    <w:rsid w:val="2C444745"/>
    <w:rsid w:val="2C5D75B5"/>
    <w:rsid w:val="2C6F780C"/>
    <w:rsid w:val="2C83526D"/>
    <w:rsid w:val="2C840F17"/>
    <w:rsid w:val="2CB6289A"/>
    <w:rsid w:val="2D045C82"/>
    <w:rsid w:val="2D5409B8"/>
    <w:rsid w:val="2D686211"/>
    <w:rsid w:val="2D8918AF"/>
    <w:rsid w:val="2DAB223A"/>
    <w:rsid w:val="2DE8111B"/>
    <w:rsid w:val="2E1E70F1"/>
    <w:rsid w:val="2E4E24AD"/>
    <w:rsid w:val="2E642E7C"/>
    <w:rsid w:val="2EC21951"/>
    <w:rsid w:val="2EDB4780"/>
    <w:rsid w:val="2F146650"/>
    <w:rsid w:val="2F542EF1"/>
    <w:rsid w:val="2F5E5B1E"/>
    <w:rsid w:val="2F9D608F"/>
    <w:rsid w:val="301D7787"/>
    <w:rsid w:val="303D62B6"/>
    <w:rsid w:val="304271ED"/>
    <w:rsid w:val="30C236EC"/>
    <w:rsid w:val="30DC14B6"/>
    <w:rsid w:val="312D57A8"/>
    <w:rsid w:val="315119DE"/>
    <w:rsid w:val="31655946"/>
    <w:rsid w:val="318221A3"/>
    <w:rsid w:val="31B71762"/>
    <w:rsid w:val="320D477B"/>
    <w:rsid w:val="32323017"/>
    <w:rsid w:val="329B0E37"/>
    <w:rsid w:val="32A87257"/>
    <w:rsid w:val="32F32A21"/>
    <w:rsid w:val="33170A91"/>
    <w:rsid w:val="33423060"/>
    <w:rsid w:val="33435DCA"/>
    <w:rsid w:val="33AB4CC1"/>
    <w:rsid w:val="33D34CDF"/>
    <w:rsid w:val="342D5ABF"/>
    <w:rsid w:val="34301A6E"/>
    <w:rsid w:val="34D15BD8"/>
    <w:rsid w:val="350354A8"/>
    <w:rsid w:val="35B53FBD"/>
    <w:rsid w:val="35C83CF1"/>
    <w:rsid w:val="368F2CBB"/>
    <w:rsid w:val="36904898"/>
    <w:rsid w:val="36D44917"/>
    <w:rsid w:val="36DD1A1E"/>
    <w:rsid w:val="36EE3C2B"/>
    <w:rsid w:val="37001C2F"/>
    <w:rsid w:val="37286CEC"/>
    <w:rsid w:val="37585548"/>
    <w:rsid w:val="384F7AA2"/>
    <w:rsid w:val="386A1670"/>
    <w:rsid w:val="3909751A"/>
    <w:rsid w:val="39423DBA"/>
    <w:rsid w:val="399D694F"/>
    <w:rsid w:val="39A155D9"/>
    <w:rsid w:val="39E67EFA"/>
    <w:rsid w:val="3A157721"/>
    <w:rsid w:val="3A3000B7"/>
    <w:rsid w:val="3A480307"/>
    <w:rsid w:val="3A5162F4"/>
    <w:rsid w:val="3AB331C1"/>
    <w:rsid w:val="3ACB22CD"/>
    <w:rsid w:val="3AD66EB0"/>
    <w:rsid w:val="3ADB02AD"/>
    <w:rsid w:val="3B164067"/>
    <w:rsid w:val="3B345F14"/>
    <w:rsid w:val="3B746C74"/>
    <w:rsid w:val="3B842468"/>
    <w:rsid w:val="3BD31641"/>
    <w:rsid w:val="3BFA097C"/>
    <w:rsid w:val="3C0637C5"/>
    <w:rsid w:val="3C4A2E77"/>
    <w:rsid w:val="3C687FDC"/>
    <w:rsid w:val="3C7A1E70"/>
    <w:rsid w:val="3CBB6CF8"/>
    <w:rsid w:val="3CCD42E3"/>
    <w:rsid w:val="3D414E89"/>
    <w:rsid w:val="3D70539A"/>
    <w:rsid w:val="3DE32D2F"/>
    <w:rsid w:val="3DFE2846"/>
    <w:rsid w:val="3E0B6E71"/>
    <w:rsid w:val="3E377C66"/>
    <w:rsid w:val="3E460D28"/>
    <w:rsid w:val="3E560DAC"/>
    <w:rsid w:val="3E8677F8"/>
    <w:rsid w:val="3E907679"/>
    <w:rsid w:val="3E9F580B"/>
    <w:rsid w:val="3EA352FB"/>
    <w:rsid w:val="3EB35718"/>
    <w:rsid w:val="3ECC2AA4"/>
    <w:rsid w:val="3EE73740"/>
    <w:rsid w:val="3EF73899"/>
    <w:rsid w:val="3F5E56C6"/>
    <w:rsid w:val="3F780CFF"/>
    <w:rsid w:val="3F7E1023"/>
    <w:rsid w:val="3FC65745"/>
    <w:rsid w:val="400C6ED0"/>
    <w:rsid w:val="40144798"/>
    <w:rsid w:val="407400F5"/>
    <w:rsid w:val="408A08AF"/>
    <w:rsid w:val="411A73CB"/>
    <w:rsid w:val="41524DB6"/>
    <w:rsid w:val="419378A9"/>
    <w:rsid w:val="41D169E9"/>
    <w:rsid w:val="423935E2"/>
    <w:rsid w:val="42CF5263"/>
    <w:rsid w:val="42D261AF"/>
    <w:rsid w:val="43055ADD"/>
    <w:rsid w:val="43560ACE"/>
    <w:rsid w:val="43CE2E1A"/>
    <w:rsid w:val="440F6F36"/>
    <w:rsid w:val="44385FA8"/>
    <w:rsid w:val="44B85878"/>
    <w:rsid w:val="456D6663"/>
    <w:rsid w:val="45B0600B"/>
    <w:rsid w:val="46063CE6"/>
    <w:rsid w:val="462204EC"/>
    <w:rsid w:val="46301C3C"/>
    <w:rsid w:val="46E1494D"/>
    <w:rsid w:val="46E60607"/>
    <w:rsid w:val="46FD2C40"/>
    <w:rsid w:val="471A5C34"/>
    <w:rsid w:val="472B2331"/>
    <w:rsid w:val="479B74B7"/>
    <w:rsid w:val="47CD5197"/>
    <w:rsid w:val="47D872F3"/>
    <w:rsid w:val="48587B8E"/>
    <w:rsid w:val="48790E7B"/>
    <w:rsid w:val="49616164"/>
    <w:rsid w:val="4977185E"/>
    <w:rsid w:val="499C12C5"/>
    <w:rsid w:val="49F904C5"/>
    <w:rsid w:val="4A0F7CE8"/>
    <w:rsid w:val="4A143551"/>
    <w:rsid w:val="4A235542"/>
    <w:rsid w:val="4AC80D07"/>
    <w:rsid w:val="4B054C48"/>
    <w:rsid w:val="4B49722A"/>
    <w:rsid w:val="4BA60CBD"/>
    <w:rsid w:val="4BB943B0"/>
    <w:rsid w:val="4BE86A43"/>
    <w:rsid w:val="4BF90C50"/>
    <w:rsid w:val="4C15535E"/>
    <w:rsid w:val="4C606105"/>
    <w:rsid w:val="4CAA1F4A"/>
    <w:rsid w:val="4CBC39A4"/>
    <w:rsid w:val="4CC72AFC"/>
    <w:rsid w:val="4CE44CA6"/>
    <w:rsid w:val="4D6C2FCA"/>
    <w:rsid w:val="4D876AF4"/>
    <w:rsid w:val="4D993209"/>
    <w:rsid w:val="4DC47D1B"/>
    <w:rsid w:val="4E834801"/>
    <w:rsid w:val="4E8804ED"/>
    <w:rsid w:val="4ECC19DA"/>
    <w:rsid w:val="4ED137BE"/>
    <w:rsid w:val="4F133DD7"/>
    <w:rsid w:val="4F1E452A"/>
    <w:rsid w:val="4F356E59"/>
    <w:rsid w:val="4F3D6572"/>
    <w:rsid w:val="4F786330"/>
    <w:rsid w:val="4FD0752F"/>
    <w:rsid w:val="50825D33"/>
    <w:rsid w:val="5145111B"/>
    <w:rsid w:val="51750D79"/>
    <w:rsid w:val="521350FE"/>
    <w:rsid w:val="522412EA"/>
    <w:rsid w:val="524F40D2"/>
    <w:rsid w:val="52A6341B"/>
    <w:rsid w:val="534C5B09"/>
    <w:rsid w:val="538D25FE"/>
    <w:rsid w:val="53C9715A"/>
    <w:rsid w:val="541A6292"/>
    <w:rsid w:val="54C3004D"/>
    <w:rsid w:val="54FF0F5E"/>
    <w:rsid w:val="55012924"/>
    <w:rsid w:val="562202F2"/>
    <w:rsid w:val="5649247E"/>
    <w:rsid w:val="565B10EE"/>
    <w:rsid w:val="567E247E"/>
    <w:rsid w:val="567F7FA4"/>
    <w:rsid w:val="569021B1"/>
    <w:rsid w:val="56B51E02"/>
    <w:rsid w:val="56C459A9"/>
    <w:rsid w:val="56F75D8C"/>
    <w:rsid w:val="57064221"/>
    <w:rsid w:val="577E029C"/>
    <w:rsid w:val="582B03E3"/>
    <w:rsid w:val="588B2BBA"/>
    <w:rsid w:val="58CB5359"/>
    <w:rsid w:val="59337A15"/>
    <w:rsid w:val="59505C28"/>
    <w:rsid w:val="596F3331"/>
    <w:rsid w:val="59873AAE"/>
    <w:rsid w:val="59C12D17"/>
    <w:rsid w:val="5A317807"/>
    <w:rsid w:val="5A4B42F2"/>
    <w:rsid w:val="5AD6588A"/>
    <w:rsid w:val="5AF93CE8"/>
    <w:rsid w:val="5B0425AE"/>
    <w:rsid w:val="5B465534"/>
    <w:rsid w:val="5B5514D6"/>
    <w:rsid w:val="5B9D1566"/>
    <w:rsid w:val="5BFE5E0F"/>
    <w:rsid w:val="5C112FA7"/>
    <w:rsid w:val="5C493179"/>
    <w:rsid w:val="5CE43994"/>
    <w:rsid w:val="5CE825D3"/>
    <w:rsid w:val="5CEF1A51"/>
    <w:rsid w:val="5D0A4324"/>
    <w:rsid w:val="5D32079B"/>
    <w:rsid w:val="5DB9023F"/>
    <w:rsid w:val="5E3817D3"/>
    <w:rsid w:val="5E677C9B"/>
    <w:rsid w:val="5EA507C4"/>
    <w:rsid w:val="5ECE7D1A"/>
    <w:rsid w:val="5ED510A9"/>
    <w:rsid w:val="5EF90AF0"/>
    <w:rsid w:val="5F1C2834"/>
    <w:rsid w:val="5F3202A9"/>
    <w:rsid w:val="5F8062C1"/>
    <w:rsid w:val="5FF97016"/>
    <w:rsid w:val="60206354"/>
    <w:rsid w:val="60341B8E"/>
    <w:rsid w:val="61137C66"/>
    <w:rsid w:val="61743B2B"/>
    <w:rsid w:val="61CB22EF"/>
    <w:rsid w:val="62180BE9"/>
    <w:rsid w:val="623600B0"/>
    <w:rsid w:val="62817571"/>
    <w:rsid w:val="62845062"/>
    <w:rsid w:val="62C524C3"/>
    <w:rsid w:val="63363606"/>
    <w:rsid w:val="63966A93"/>
    <w:rsid w:val="64A62BA0"/>
    <w:rsid w:val="64D87672"/>
    <w:rsid w:val="654E6E17"/>
    <w:rsid w:val="66521231"/>
    <w:rsid w:val="665B76BD"/>
    <w:rsid w:val="667016B7"/>
    <w:rsid w:val="67193AFD"/>
    <w:rsid w:val="671D183F"/>
    <w:rsid w:val="67717495"/>
    <w:rsid w:val="67E049F9"/>
    <w:rsid w:val="67E740A8"/>
    <w:rsid w:val="68862608"/>
    <w:rsid w:val="6894251B"/>
    <w:rsid w:val="69742851"/>
    <w:rsid w:val="698C2CAC"/>
    <w:rsid w:val="699647D9"/>
    <w:rsid w:val="69A973BA"/>
    <w:rsid w:val="69DC1FB3"/>
    <w:rsid w:val="69F56662"/>
    <w:rsid w:val="6A354013"/>
    <w:rsid w:val="6A5D01A4"/>
    <w:rsid w:val="6ADF7409"/>
    <w:rsid w:val="6B2744A6"/>
    <w:rsid w:val="6BC527B0"/>
    <w:rsid w:val="6BD308C2"/>
    <w:rsid w:val="6C360CAD"/>
    <w:rsid w:val="6C725AC8"/>
    <w:rsid w:val="6D0F1C2A"/>
    <w:rsid w:val="6D7952F5"/>
    <w:rsid w:val="6D886ADD"/>
    <w:rsid w:val="6DA04360"/>
    <w:rsid w:val="6DE86140"/>
    <w:rsid w:val="6E02353D"/>
    <w:rsid w:val="6E810905"/>
    <w:rsid w:val="6E8977BA"/>
    <w:rsid w:val="6E9A3775"/>
    <w:rsid w:val="6EAB14DE"/>
    <w:rsid w:val="6F14364A"/>
    <w:rsid w:val="6F8406EC"/>
    <w:rsid w:val="6FA55A52"/>
    <w:rsid w:val="6FCB6FB9"/>
    <w:rsid w:val="6FE3114C"/>
    <w:rsid w:val="6FE32EFA"/>
    <w:rsid w:val="705D2519"/>
    <w:rsid w:val="706E3AD1"/>
    <w:rsid w:val="70876897"/>
    <w:rsid w:val="709F1D23"/>
    <w:rsid w:val="70ED4030"/>
    <w:rsid w:val="712559EA"/>
    <w:rsid w:val="71257C6E"/>
    <w:rsid w:val="72144817"/>
    <w:rsid w:val="735760D9"/>
    <w:rsid w:val="737B1F0E"/>
    <w:rsid w:val="73C546AD"/>
    <w:rsid w:val="73E536E4"/>
    <w:rsid w:val="73ED7B5D"/>
    <w:rsid w:val="73F274AE"/>
    <w:rsid w:val="74B20C06"/>
    <w:rsid w:val="74DB6D22"/>
    <w:rsid w:val="757E468B"/>
    <w:rsid w:val="75B90F40"/>
    <w:rsid w:val="75E874BC"/>
    <w:rsid w:val="761C0F14"/>
    <w:rsid w:val="774442C4"/>
    <w:rsid w:val="77611290"/>
    <w:rsid w:val="77DE46D3"/>
    <w:rsid w:val="78112CFA"/>
    <w:rsid w:val="78335D19"/>
    <w:rsid w:val="78CA642E"/>
    <w:rsid w:val="791D56CF"/>
    <w:rsid w:val="79E26729"/>
    <w:rsid w:val="79E77430"/>
    <w:rsid w:val="7A1940E8"/>
    <w:rsid w:val="7A2D7B93"/>
    <w:rsid w:val="7A8E0021"/>
    <w:rsid w:val="7AA47E99"/>
    <w:rsid w:val="7AB21E3F"/>
    <w:rsid w:val="7AB43E11"/>
    <w:rsid w:val="7ACE4ED2"/>
    <w:rsid w:val="7ADB75EF"/>
    <w:rsid w:val="7B1E74DC"/>
    <w:rsid w:val="7B3B1E3C"/>
    <w:rsid w:val="7B450F0D"/>
    <w:rsid w:val="7B727E76"/>
    <w:rsid w:val="7BAE4418"/>
    <w:rsid w:val="7BC5525C"/>
    <w:rsid w:val="7BF808B1"/>
    <w:rsid w:val="7CFC6CFB"/>
    <w:rsid w:val="7DBF0B02"/>
    <w:rsid w:val="7E2B442C"/>
    <w:rsid w:val="7E7713DD"/>
    <w:rsid w:val="7E851D4C"/>
    <w:rsid w:val="7EB42F60"/>
    <w:rsid w:val="7EC14D4E"/>
    <w:rsid w:val="7ED4573F"/>
    <w:rsid w:val="7EE8520B"/>
    <w:rsid w:val="7EED1D9E"/>
    <w:rsid w:val="7F9935D5"/>
    <w:rsid w:val="7FE141F0"/>
    <w:rsid w:val="7FE53FB9"/>
    <w:rsid w:val="7FFD3AD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5">
    <w:name w:val="heading 1"/>
    <w:basedOn w:val="1"/>
    <w:next w:val="1"/>
    <w:link w:val="27"/>
    <w:qFormat/>
    <w:uiPriority w:val="0"/>
    <w:pPr>
      <w:keepNext/>
      <w:keepLines/>
      <w:spacing w:before="340" w:after="330" w:line="578" w:lineRule="auto"/>
      <w:outlineLvl w:val="0"/>
    </w:pPr>
    <w:rPr>
      <w:b/>
      <w:bCs/>
      <w:kern w:val="44"/>
      <w:sz w:val="44"/>
      <w:szCs w:val="44"/>
    </w:rPr>
  </w:style>
  <w:style w:type="paragraph" w:styleId="6">
    <w:name w:val="heading 2"/>
    <w:basedOn w:val="1"/>
    <w:next w:val="1"/>
    <w:link w:val="28"/>
    <w:qFormat/>
    <w:uiPriority w:val="0"/>
    <w:pPr>
      <w:keepNext/>
      <w:keepLines/>
      <w:adjustRightInd w:val="0"/>
      <w:snapToGrid w:val="0"/>
      <w:spacing w:beforeLines="50" w:afterLines="50" w:line="600" w:lineRule="exact"/>
      <w:jc w:val="center"/>
      <w:outlineLvl w:val="1"/>
    </w:pPr>
    <w:rPr>
      <w:rFonts w:ascii="楷体_GB2312" w:hAnsi="等线 Light" w:eastAsia="楷体_GB2312" w:cs="Times New Roman"/>
      <w:b/>
      <w:bCs/>
      <w:sz w:val="32"/>
      <w:szCs w:val="32"/>
    </w:rPr>
  </w:style>
  <w:style w:type="paragraph" w:styleId="7">
    <w:name w:val="heading 3"/>
    <w:basedOn w:val="1"/>
    <w:next w:val="1"/>
    <w:link w:val="29"/>
    <w:qFormat/>
    <w:uiPriority w:val="0"/>
    <w:pPr>
      <w:keepNext/>
      <w:keepLines/>
      <w:spacing w:before="260" w:after="260" w:line="416" w:lineRule="auto"/>
      <w:outlineLvl w:val="2"/>
    </w:pPr>
    <w:rPr>
      <w:b/>
      <w:bCs/>
      <w:sz w:val="32"/>
      <w:szCs w:val="32"/>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link w:val="39"/>
    <w:qFormat/>
    <w:uiPriority w:val="99"/>
    <w:pPr>
      <w:spacing w:after="0"/>
      <w:ind w:left="0" w:leftChars="0" w:firstLine="420" w:firstLineChars="200"/>
      <w:jc w:val="left"/>
    </w:pPr>
    <w:rPr>
      <w:rFonts w:ascii="黑体" w:hAnsi="Times New Roman" w:eastAsia="黑体"/>
      <w:color w:val="000000"/>
      <w:kern w:val="0"/>
      <w:sz w:val="32"/>
      <w:lang w:eastAsia="en-US"/>
    </w:rPr>
  </w:style>
  <w:style w:type="paragraph" w:styleId="3">
    <w:name w:val="Body Text Indent"/>
    <w:basedOn w:val="1"/>
    <w:next w:val="4"/>
    <w:link w:val="31"/>
    <w:qFormat/>
    <w:uiPriority w:val="0"/>
    <w:pPr>
      <w:spacing w:after="120"/>
      <w:ind w:left="420" w:leftChars="200"/>
    </w:pPr>
  </w:style>
  <w:style w:type="paragraph" w:styleId="4">
    <w:name w:val="Normal Indent"/>
    <w:basedOn w:val="1"/>
    <w:qFormat/>
    <w:uiPriority w:val="0"/>
    <w:pPr>
      <w:ind w:firstLine="420" w:firstLineChars="200"/>
    </w:pPr>
    <w:rPr>
      <w:rFonts w:ascii="Calibri" w:hAnsi="Calibri" w:eastAsia="仿宋" w:cs="Times New Roman"/>
    </w:rPr>
  </w:style>
  <w:style w:type="paragraph" w:styleId="8">
    <w:name w:val="annotation text"/>
    <w:basedOn w:val="1"/>
    <w:qFormat/>
    <w:uiPriority w:val="0"/>
    <w:pPr>
      <w:jc w:val="left"/>
    </w:pPr>
  </w:style>
  <w:style w:type="paragraph" w:styleId="9">
    <w:name w:val="Body Text"/>
    <w:basedOn w:val="1"/>
    <w:link w:val="30"/>
    <w:qFormat/>
    <w:uiPriority w:val="99"/>
    <w:pPr>
      <w:spacing w:after="120"/>
    </w:pPr>
  </w:style>
  <w:style w:type="paragraph" w:styleId="10">
    <w:name w:val="Plain Text"/>
    <w:basedOn w:val="1"/>
    <w:link w:val="32"/>
    <w:qFormat/>
    <w:uiPriority w:val="0"/>
    <w:rPr>
      <w:rFonts w:ascii="宋体" w:hAnsi="Courier New" w:eastAsia="宋体" w:cs="Times New Roman"/>
      <w:szCs w:val="21"/>
    </w:rPr>
  </w:style>
  <w:style w:type="paragraph" w:styleId="11">
    <w:name w:val="Body Text Indent 2"/>
    <w:basedOn w:val="1"/>
    <w:link w:val="33"/>
    <w:qFormat/>
    <w:uiPriority w:val="0"/>
    <w:pPr>
      <w:spacing w:after="120" w:line="480" w:lineRule="auto"/>
      <w:ind w:left="420" w:leftChars="200"/>
    </w:pPr>
  </w:style>
  <w:style w:type="paragraph" w:styleId="12">
    <w:name w:val="Balloon Text"/>
    <w:basedOn w:val="1"/>
    <w:link w:val="34"/>
    <w:qFormat/>
    <w:uiPriority w:val="0"/>
    <w:rPr>
      <w:sz w:val="18"/>
    </w:rPr>
  </w:style>
  <w:style w:type="paragraph" w:styleId="13">
    <w:name w:val="footer"/>
    <w:basedOn w:val="1"/>
    <w:link w:val="35"/>
    <w:qFormat/>
    <w:uiPriority w:val="0"/>
    <w:pPr>
      <w:tabs>
        <w:tab w:val="center" w:pos="4153"/>
        <w:tab w:val="right" w:pos="8306"/>
      </w:tabs>
      <w:snapToGrid w:val="0"/>
      <w:jc w:val="left"/>
    </w:pPr>
    <w:rPr>
      <w:sz w:val="18"/>
      <w:szCs w:val="18"/>
    </w:rPr>
  </w:style>
  <w:style w:type="paragraph" w:styleId="14">
    <w:name w:val="header"/>
    <w:basedOn w:val="1"/>
    <w:link w:val="36"/>
    <w:qFormat/>
    <w:uiPriority w:val="0"/>
    <w:pPr>
      <w:tabs>
        <w:tab w:val="center" w:pos="4153"/>
        <w:tab w:val="right" w:pos="8306"/>
      </w:tabs>
      <w:snapToGrid w:val="0"/>
      <w:jc w:val="center"/>
    </w:pPr>
    <w:rPr>
      <w:sz w:val="18"/>
      <w:szCs w:val="18"/>
    </w:rPr>
  </w:style>
  <w:style w:type="paragraph" w:styleId="15">
    <w:name w:val="toc 1"/>
    <w:basedOn w:val="1"/>
    <w:next w:val="1"/>
    <w:qFormat/>
    <w:uiPriority w:val="39"/>
    <w:pPr>
      <w:spacing w:line="600" w:lineRule="exact"/>
    </w:pPr>
    <w:rPr>
      <w:rFonts w:ascii="黑体" w:hAnsi="黑体" w:eastAsia="黑体" w:cs="仿宋_GB2312"/>
      <w:sz w:val="32"/>
    </w:rPr>
  </w:style>
  <w:style w:type="paragraph" w:styleId="16">
    <w:name w:val="footnote text"/>
    <w:basedOn w:val="1"/>
    <w:link w:val="37"/>
    <w:qFormat/>
    <w:uiPriority w:val="0"/>
    <w:pPr>
      <w:snapToGrid w:val="0"/>
      <w:jc w:val="left"/>
    </w:pPr>
    <w:rPr>
      <w:sz w:val="18"/>
      <w:szCs w:val="18"/>
    </w:rPr>
  </w:style>
  <w:style w:type="paragraph" w:styleId="17">
    <w:name w:val="toc 2"/>
    <w:basedOn w:val="1"/>
    <w:next w:val="1"/>
    <w:qFormat/>
    <w:uiPriority w:val="39"/>
    <w:pPr>
      <w:spacing w:line="600" w:lineRule="exact"/>
      <w:ind w:left="420" w:leftChars="200"/>
    </w:pPr>
    <w:rPr>
      <w:rFonts w:ascii="楷体_GB2312" w:hAnsi="楷体_GB2312" w:eastAsia="楷体_GB2312"/>
      <w:sz w:val="32"/>
    </w:rPr>
  </w:style>
  <w:style w:type="paragraph" w:styleId="18">
    <w:name w:val="HTML Preformatted"/>
    <w:basedOn w:val="1"/>
    <w:link w:val="38"/>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9">
    <w:name w:val="Normal (Web)"/>
    <w:basedOn w:val="1"/>
    <w:qFormat/>
    <w:uiPriority w:val="99"/>
    <w:pPr>
      <w:spacing w:before="100" w:beforeAutospacing="1" w:after="100" w:afterAutospacing="1"/>
      <w:ind w:left="0" w:right="0"/>
      <w:jc w:val="left"/>
    </w:pPr>
    <w:rPr>
      <w:kern w:val="0"/>
      <w:sz w:val="24"/>
      <w:lang w:val="en-US" w:eastAsia="zh-CN" w:bidi="ar"/>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bCs/>
    </w:rPr>
  </w:style>
  <w:style w:type="character" w:styleId="24">
    <w:name w:val="Emphasis"/>
    <w:qFormat/>
    <w:uiPriority w:val="20"/>
    <w:rPr>
      <w:i/>
      <w:iCs/>
    </w:rPr>
  </w:style>
  <w:style w:type="character" w:styleId="25">
    <w:name w:val="Hyperlink"/>
    <w:qFormat/>
    <w:uiPriority w:val="99"/>
    <w:rPr>
      <w:color w:val="0000FF"/>
      <w:u w:val="single"/>
    </w:rPr>
  </w:style>
  <w:style w:type="character" w:styleId="26">
    <w:name w:val="footnote reference"/>
    <w:qFormat/>
    <w:uiPriority w:val="0"/>
    <w:rPr>
      <w:vertAlign w:val="superscript"/>
    </w:rPr>
  </w:style>
  <w:style w:type="character" w:customStyle="1" w:styleId="27">
    <w:name w:val="标题 1 字符"/>
    <w:link w:val="5"/>
    <w:qFormat/>
    <w:uiPriority w:val="0"/>
    <w:rPr>
      <w:rFonts w:ascii="Calibri" w:hAnsi="Calibri"/>
      <w:b/>
      <w:bCs/>
      <w:kern w:val="44"/>
      <w:sz w:val="44"/>
      <w:szCs w:val="44"/>
    </w:rPr>
  </w:style>
  <w:style w:type="character" w:customStyle="1" w:styleId="28">
    <w:name w:val="标题 2 字符"/>
    <w:link w:val="6"/>
    <w:qFormat/>
    <w:uiPriority w:val="0"/>
    <w:rPr>
      <w:rFonts w:ascii="楷体_GB2312" w:hAnsi="等线 Light" w:eastAsia="楷体_GB2312" w:cs="Times New Roman"/>
      <w:b/>
      <w:bCs/>
      <w:kern w:val="2"/>
      <w:sz w:val="32"/>
      <w:szCs w:val="32"/>
      <w:lang w:val="en-US" w:eastAsia="zh-CN" w:bidi="ar-SA"/>
    </w:rPr>
  </w:style>
  <w:style w:type="character" w:customStyle="1" w:styleId="29">
    <w:name w:val="标题 3 字符"/>
    <w:link w:val="7"/>
    <w:semiHidden/>
    <w:qFormat/>
    <w:uiPriority w:val="0"/>
    <w:rPr>
      <w:rFonts w:ascii="Calibri" w:hAnsi="Calibri"/>
      <w:b/>
      <w:bCs/>
      <w:kern w:val="2"/>
      <w:sz w:val="32"/>
      <w:szCs w:val="32"/>
    </w:rPr>
  </w:style>
  <w:style w:type="character" w:customStyle="1" w:styleId="30">
    <w:name w:val="正文文本 字符"/>
    <w:link w:val="9"/>
    <w:qFormat/>
    <w:uiPriority w:val="0"/>
    <w:rPr>
      <w:rFonts w:ascii="Calibri" w:hAnsi="Calibri"/>
      <w:kern w:val="2"/>
      <w:sz w:val="21"/>
      <w:szCs w:val="24"/>
    </w:rPr>
  </w:style>
  <w:style w:type="character" w:customStyle="1" w:styleId="31">
    <w:name w:val="正文文本缩进 字符"/>
    <w:link w:val="3"/>
    <w:qFormat/>
    <w:uiPriority w:val="0"/>
    <w:rPr>
      <w:rFonts w:ascii="Calibri" w:hAnsi="Calibri"/>
      <w:kern w:val="2"/>
      <w:sz w:val="21"/>
      <w:szCs w:val="24"/>
    </w:rPr>
  </w:style>
  <w:style w:type="character" w:customStyle="1" w:styleId="32">
    <w:name w:val="纯文本 字符"/>
    <w:link w:val="10"/>
    <w:qFormat/>
    <w:uiPriority w:val="0"/>
    <w:rPr>
      <w:rFonts w:ascii="宋体" w:hAnsi="Courier New"/>
      <w:kern w:val="2"/>
      <w:sz w:val="21"/>
      <w:szCs w:val="21"/>
    </w:rPr>
  </w:style>
  <w:style w:type="character" w:customStyle="1" w:styleId="33">
    <w:name w:val="正文文本缩进 2 字符"/>
    <w:link w:val="11"/>
    <w:qFormat/>
    <w:uiPriority w:val="0"/>
    <w:rPr>
      <w:rFonts w:ascii="Calibri" w:hAnsi="Calibri"/>
      <w:kern w:val="2"/>
      <w:sz w:val="21"/>
      <w:szCs w:val="24"/>
    </w:rPr>
  </w:style>
  <w:style w:type="character" w:customStyle="1" w:styleId="34">
    <w:name w:val="批注框文本 字符"/>
    <w:link w:val="12"/>
    <w:qFormat/>
    <w:uiPriority w:val="0"/>
    <w:rPr>
      <w:rFonts w:ascii="Calibri" w:hAnsi="Calibri"/>
      <w:kern w:val="2"/>
      <w:sz w:val="18"/>
      <w:szCs w:val="24"/>
    </w:rPr>
  </w:style>
  <w:style w:type="character" w:customStyle="1" w:styleId="35">
    <w:name w:val="页脚 字符"/>
    <w:link w:val="13"/>
    <w:qFormat/>
    <w:uiPriority w:val="99"/>
    <w:rPr>
      <w:rFonts w:ascii="Calibri" w:hAnsi="Calibri"/>
      <w:kern w:val="2"/>
      <w:sz w:val="18"/>
      <w:szCs w:val="18"/>
    </w:rPr>
  </w:style>
  <w:style w:type="character" w:customStyle="1" w:styleId="36">
    <w:name w:val="页眉 字符"/>
    <w:link w:val="14"/>
    <w:qFormat/>
    <w:uiPriority w:val="0"/>
    <w:rPr>
      <w:rFonts w:ascii="Calibri" w:hAnsi="Calibri"/>
      <w:kern w:val="2"/>
      <w:sz w:val="18"/>
      <w:szCs w:val="18"/>
    </w:rPr>
  </w:style>
  <w:style w:type="character" w:customStyle="1" w:styleId="37">
    <w:name w:val="脚注文本 字符"/>
    <w:link w:val="16"/>
    <w:qFormat/>
    <w:uiPriority w:val="0"/>
    <w:rPr>
      <w:rFonts w:ascii="Calibri" w:hAnsi="Calibri"/>
      <w:kern w:val="2"/>
      <w:sz w:val="18"/>
      <w:szCs w:val="18"/>
    </w:rPr>
  </w:style>
  <w:style w:type="character" w:customStyle="1" w:styleId="38">
    <w:name w:val="HTML 预设格式 字符"/>
    <w:link w:val="18"/>
    <w:qFormat/>
    <w:uiPriority w:val="0"/>
    <w:rPr>
      <w:rFonts w:ascii="宋体" w:hAnsi="宋体"/>
      <w:sz w:val="24"/>
      <w:szCs w:val="24"/>
    </w:rPr>
  </w:style>
  <w:style w:type="character" w:customStyle="1" w:styleId="39">
    <w:name w:val="正文文本首行缩进 2 字符"/>
    <w:link w:val="2"/>
    <w:qFormat/>
    <w:uiPriority w:val="99"/>
    <w:rPr>
      <w:rFonts w:ascii="黑体" w:hAnsi="Calibri" w:eastAsia="黑体"/>
      <w:color w:val="000000"/>
      <w:kern w:val="2"/>
      <w:sz w:val="32"/>
      <w:szCs w:val="24"/>
      <w:lang w:eastAsia="en-US"/>
    </w:rPr>
  </w:style>
  <w:style w:type="paragraph" w:styleId="40">
    <w:name w:val="List Paragraph"/>
    <w:basedOn w:val="1"/>
    <w:next w:val="1"/>
    <w:qFormat/>
    <w:uiPriority w:val="99"/>
    <w:pPr>
      <w:ind w:firstLine="420" w:firstLineChars="200"/>
    </w:pPr>
  </w:style>
  <w:style w:type="paragraph" w:customStyle="1" w:styleId="41">
    <w:name w:val="_Style 39"/>
    <w:basedOn w:val="5"/>
    <w:next w:val="1"/>
    <w:qFormat/>
    <w:uiPriority w:val="39"/>
    <w:pPr>
      <w:widowControl/>
      <w:spacing w:before="240" w:after="0" w:line="259" w:lineRule="auto"/>
      <w:jc w:val="left"/>
      <w:outlineLvl w:val="9"/>
    </w:pPr>
    <w:rPr>
      <w:rFonts w:ascii="等线 Light" w:hAnsi="等线 Light" w:eastAsia="等线 Light" w:cs="Times New Roman"/>
      <w:b w:val="0"/>
      <w:bCs w:val="0"/>
      <w:color w:val="2F5496"/>
      <w:kern w:val="0"/>
      <w:sz w:val="32"/>
      <w:szCs w:val="32"/>
    </w:rPr>
  </w:style>
  <w:style w:type="paragraph" w:customStyle="1" w:styleId="42">
    <w:name w:val="正文新表格fffffffffffff"/>
    <w:basedOn w:val="9"/>
    <w:qFormat/>
    <w:uiPriority w:val="0"/>
    <w:pPr>
      <w:tabs>
        <w:tab w:val="center" w:pos="733"/>
      </w:tabs>
      <w:adjustRightInd w:val="0"/>
      <w:snapToGrid w:val="0"/>
      <w:spacing w:after="0" w:line="460" w:lineRule="exact"/>
      <w:jc w:val="left"/>
    </w:pPr>
    <w:rPr>
      <w:rFonts w:ascii="Calibri" w:hAnsi="黑体" w:eastAsia="宋体" w:cs="Times New Roman"/>
      <w:kern w:val="0"/>
      <w:sz w:val="28"/>
      <w:szCs w:val="20"/>
      <w:lang w:val="en-GB"/>
    </w:rPr>
  </w:style>
  <w:style w:type="character" w:customStyle="1" w:styleId="43">
    <w:name w:val="selectable-text"/>
    <w:qFormat/>
    <w:uiPriority w:val="0"/>
  </w:style>
  <w:style w:type="paragraph" w:customStyle="1" w:styleId="44">
    <w:name w:val="ds-markdown-paragraph"/>
    <w:basedOn w:val="1"/>
    <w:qFormat/>
    <w:uiPriority w:val="0"/>
    <w:pPr>
      <w:widowControl/>
      <w:spacing w:before="100" w:beforeAutospacing="1" w:after="100" w:afterAutospacing="1"/>
      <w:jc w:val="left"/>
    </w:pPr>
    <w:rPr>
      <w:rFonts w:ascii="宋体" w:hAnsi="宋体" w:cs="宋体"/>
      <w:kern w:val="0"/>
      <w:sz w:val="24"/>
    </w:rPr>
  </w:style>
  <w:style w:type="character" w:customStyle="1" w:styleId="45">
    <w:name w:val="ds-markdown-cite"/>
    <w:qFormat/>
    <w:uiPriority w:val="0"/>
  </w:style>
  <w:style w:type="character" w:customStyle="1" w:styleId="46">
    <w:name w:val="未处理的提及"/>
    <w:unhideWhenUsed/>
    <w:qFormat/>
    <w:uiPriority w:val="99"/>
    <w:rPr>
      <w:color w:val="605E5C"/>
      <w:shd w:val="clear" w:color="auto" w:fill="E1DFDD"/>
    </w:rPr>
  </w:style>
  <w:style w:type="paragraph" w:customStyle="1" w:styleId="47">
    <w:name w:val="Char"/>
    <w:basedOn w:val="1"/>
    <w:semiHidden/>
    <w:qFormat/>
    <w:uiPriority w:val="0"/>
    <w:rPr>
      <w:rFonts w:ascii="Times New Roman" w:hAnsi="Times New Roman"/>
    </w:rPr>
  </w:style>
  <w:style w:type="character" w:customStyle="1" w:styleId="48">
    <w:name w:val="bjh-p"/>
    <w:qFormat/>
    <w:uiPriority w:val="0"/>
  </w:style>
  <w:style w:type="paragraph" w:customStyle="1" w:styleId="49">
    <w:name w:val="_Style 47"/>
    <w:unhideWhenUsed/>
    <w:qFormat/>
    <w:uiPriority w:val="99"/>
    <w:rPr>
      <w:rFonts w:ascii="Calibri" w:hAnsi="Calibri" w:eastAsia="宋体" w:cs="Times New Roman"/>
      <w:kern w:val="2"/>
      <w:sz w:val="21"/>
      <w:szCs w:val="24"/>
      <w:lang w:val="en-US" w:eastAsia="zh-CN" w:bidi="ar-SA"/>
    </w:rPr>
  </w:style>
  <w:style w:type="paragraph" w:customStyle="1" w:styleId="50">
    <w:name w:val="首行缩进"/>
    <w:basedOn w:val="1"/>
    <w:qFormat/>
    <w:uiPriority w:val="0"/>
    <w:pPr>
      <w:spacing w:line="360" w:lineRule="auto"/>
      <w:ind w:firstLine="480" w:firstLineChars="200"/>
    </w:pPr>
    <w:rPr>
      <w:rFonts w:ascii="宋体" w:hAnsi="宋体" w:cs="宋体"/>
      <w:kern w:val="0"/>
      <w:sz w:val="24"/>
    </w:rPr>
  </w:style>
  <w:style w:type="paragraph" w:customStyle="1" w:styleId="51">
    <w:name w:val="p0"/>
    <w:basedOn w:val="1"/>
    <w:qFormat/>
    <w:uiPriority w:val="0"/>
    <w:pPr>
      <w:widowControl/>
      <w:spacing w:line="365" w:lineRule="atLeast"/>
      <w:ind w:left="1" w:firstLine="200" w:firstLineChars="200"/>
    </w:pPr>
    <w:rPr>
      <w:rFonts w:ascii="Times New Roman" w:hAnsi="Times New Roman" w:eastAsia="仿宋_GB2312"/>
      <w:kern w:val="0"/>
      <w:sz w:val="20"/>
      <w:szCs w:val="28"/>
    </w:rPr>
  </w:style>
  <w:style w:type="paragraph" w:customStyle="1" w:styleId="52">
    <w:name w:val="_Style 13"/>
    <w:qFormat/>
    <w:uiPriority w:val="0"/>
    <w:pPr>
      <w:spacing w:before="120" w:after="120" w:line="288" w:lineRule="auto"/>
    </w:pPr>
    <w:rPr>
      <w:rFonts w:ascii="Arial" w:hAnsi="Arial" w:eastAsia="等线" w:cs="Arial"/>
      <w:sz w:val="22"/>
      <w:szCs w:val="22"/>
      <w:lang w:val="en-US" w:eastAsia="zh-CN" w:bidi="ar-SA"/>
    </w:rPr>
  </w:style>
  <w:style w:type="character" w:customStyle="1" w:styleId="53">
    <w:name w:val="批注框文本 Char"/>
    <w:qFormat/>
    <w:uiPriority w:val="0"/>
    <w:rPr>
      <w:rFonts w:ascii="Calibri" w:hAnsi="Calibri"/>
      <w:kern w:val="2"/>
      <w:sz w:val="18"/>
      <w:szCs w:val="24"/>
    </w:rPr>
  </w:style>
  <w:style w:type="paragraph" w:customStyle="1" w:styleId="54">
    <w:name w:val="Table Text"/>
    <w:basedOn w:val="1"/>
    <w:semiHidden/>
    <w:qFormat/>
    <w:uiPriority w:val="0"/>
    <w:rPr>
      <w:rFonts w:ascii="微软雅黑" w:hAnsi="微软雅黑" w:eastAsia="微软雅黑" w:cs="微软雅黑"/>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71f6378c-dc1c-4b95-af99-90071a61874c</errorID>
      <errorWord>生态系统质量与稳定性</errorWord>
      <group>L1_Political</group>
      <groupName>政治性问题</groupName>
      <ability>L2_Keyword</ability>
      <abilityName>固定表述</abilityName>
      <candidateList>
        <item>生态系统质量和稳定性</item>
      </candidateList>
      <explain>词汇“生态系统质量和稳定性”在特定场景下为固定表述形式，请确认此处的“生态系统质量与稳定性”是否存在不当。</explain>
      <paraID>3F7C195E</paraID>
      <start>220</start>
      <end>230</end>
      <status>modified</status>
      <modifiedWord>生态系统质量和稳定性</modifiedWord>
      <trackRevisions>false</trackRevisions>
    </reviewItem>
    <reviewItem>
      <errorID>b28f50ee-c2df-48ca-b950-8783e555eb2b</errorID>
      <errorWord>中科院</errorWord>
      <group>L1_Knowledge</group>
      <groupName>知识性问题</groupName>
      <ability>L2_Knowledge</ability>
      <abilityName>其他知识</abilityName>
      <candidateList>
        <item>中国科学院</item>
      </candidateList>
      <explain/>
      <paraID>49D1ADFE</paraID>
      <start>83</start>
      <end>86</end>
      <status>ignored</status>
      <modifiedWord/>
      <trackRevisions>false</trackRevisions>
    </reviewItem>
    <reviewItem>
      <errorID>1703deab-16ca-4160-b356-841ceaff1108</errorID>
      <errorWord>关键共性技术攻关</errorWord>
      <group>L1_Political</group>
      <groupName>政治性问题</groupName>
      <ability>L2_Keyword</ability>
      <abilityName>固定表述</abilityName>
      <candidateList>
        <item>关键核心技术攻关</item>
      </candidateList>
      <explain>词汇“关键核心技术攻关”在特定场景下为固定表述形式，请确认此处的“关键共性技术攻关”是否存在不当。</explain>
      <paraID>334F8A70</paraID>
      <start>151</start>
      <end>159</end>
      <status>ignored</status>
      <modifiedWord/>
      <trackRevisions>false</trackRevisions>
    </reviewItem>
    <reviewItem>
      <errorID>d1463299-71e2-41c1-b846-ecbf07c2af28</errorID>
      <errorWord>科技骨干企业</errorWord>
      <group>L1_Political</group>
      <groupName>政治性问题</groupName>
      <ability>L2_Keyword</ability>
      <abilityName>固定表述</abilityName>
      <candidateList>
        <item>科技型骨干企业</item>
      </candidateList>
      <explain>词汇“科技型骨干企业”在特定场景下为固定表述形式，请确认此处的“科技骨干企业”是否存在不当。</explain>
      <paraID>33D87290</paraID>
      <start>2</start>
      <end>8</end>
      <status>ignored</status>
      <modifiedWord/>
      <trackRevisions>false</trackRevisions>
    </reviewItem>
    <reviewItem>
      <errorID>8e0f5dc0-0d1b-46ff-893f-cb6599218cab</errorID>
      <errorWord>中科院</errorWord>
      <group>L1_Knowledge</group>
      <groupName>知识性问题</groupName>
      <ability>L2_Knowledge</ability>
      <abilityName>其他知识</abilityName>
      <candidateList>
        <item>中国科学院</item>
      </candidateList>
      <explain/>
      <paraID>2ADF62B6</paraID>
      <start>128</start>
      <end>131</end>
      <status>ignored</status>
      <modifiedWord/>
      <trackRevisions>false</trackRevisions>
    </reviewItem>
    <reviewItem>
      <errorID>d41f9fd0-7eb8-4435-bcc5-958bd7ca9775</errorID>
      <errorWord>知识产权市场融资</errorWord>
      <group>L1_Political</group>
      <groupName>政治性问题</groupName>
      <ability>L2_Keyword</ability>
      <abilityName>固定表述</abilityName>
      <candidateList>
        <item>知识产权质押融资</item>
      </candidateList>
      <explain>词汇“知识产权质押融资”在特定场景下为固定表述形式，请确认此处的“知识产权市场融资”是否存在不当。</explain>
      <paraID> D6B479A</paraID>
      <start>138</start>
      <end>146</end>
      <status>ignored</status>
      <modifiedWord/>
      <trackRevisions>false</trackRevisions>
    </reviewItem>
    <reviewItem>
      <errorID>8a7e730d-d2e3-42a2-99ac-e28c763d7596</errorID>
      <errorWord>枣庄港台儿庄</errorWord>
      <group>L1_Knowledge</group>
      <groupName>知识性问题</groupName>
      <ability>L2_Location</ability>
      <abilityName>地名检查</abilityName>
      <candidateList>
        <item>枣庄台儿庄</item>
      </candidateList>
      <explain>地名表述错误</explain>
      <paraID>20A8077F</paraID>
      <start>71</start>
      <end>77</end>
      <status>ignored</status>
      <modifiedWord/>
      <trackRevisions>false</trackRevisions>
    </reviewItem>
    <reviewItem>
      <errorID>bcd849ae-2258-452a-ac2f-50e465b5d49c</errorID>
      <errorWord>枣庄港台儿庄</errorWord>
      <group>L1_Knowledge</group>
      <groupName>知识性问题</groupName>
      <ability>L2_Location</ability>
      <abilityName>地名检查</abilityName>
      <candidateList>
        <item>枣庄台儿庄</item>
      </candidateList>
      <explain>地名表述错误</explain>
      <paraID>20A8077F</paraID>
      <start>98</start>
      <end>104</end>
      <status>ignored</status>
      <modifiedWord/>
      <trackRevisions>false</trackRevisions>
    </reviewItem>
    <reviewItem>
      <errorID>672f8f1c-5f94-4e6b-b3bb-9e2373a46398</errorID>
      <errorWord>种养殖</errorWord>
      <group>L1_Word</group>
      <groupName>字词问题</groupName>
      <ability>L2_Typo</ability>
      <abilityName>字词错误</abilityName>
      <candidateList>
        <item>种植养殖</item>
      </candidateList>
      <explain/>
      <paraID>1CB33111</paraID>
      <start>116</start>
      <end>119</end>
      <status>ignored</status>
      <modifiedWord/>
      <trackRevisions>false</trackRevisions>
    </reviewItem>
    <reviewItem>
      <errorID>1c47cce3-77ea-46e3-997b-c1bdc00c3ed9</errorID>
      <errorWord>农业产业化企业</errorWord>
      <group>L1_Political</group>
      <groupName>政治性问题</groupName>
      <ability>L2_Keyword</ability>
      <abilityName>固定表述</abilityName>
      <candidateList>
        <item>农业产业化龙头企业</item>
      </candidateList>
      <explain>词汇“农业产业化龙头企业”在特定场景下为固定表述形式，请确认此处的“农业产业化企业”是否存在不当。</explain>
      <paraID>13014D37</paraID>
      <start>2</start>
      <end>9</end>
      <status>ignored</status>
      <modifiedWord/>
      <trackRevisions>false</trackRevisions>
    </reviewItem>
    <reviewItem>
      <errorID>cee047f0-d269-4b1e-8c2c-a9c507a27532</errorID>
      <errorWord>数据产业化</errorWord>
      <group>L1_Political</group>
      <groupName>政治性问题</groupName>
      <ability>L2_Keyword</ability>
      <abilityName>固定表述</abilityName>
      <candidateList>
        <item>数字产业化</item>
      </candidateList>
      <explain>词汇“数字产业化”在特定场景下为固定表述形式，请确认此处的“数据产业化”是否存在不当。</explain>
      <paraID>118E5E71</paraID>
      <start>29</start>
      <end>34</end>
      <status>ignored</status>
      <modifiedWord/>
      <trackRevisions>false</trackRevisions>
    </reviewItem>
    <reviewItem>
      <errorID>fbdf3811-7300-4b95-a3af-b30505754452</errorID>
      <errorWord>牧歌</errorWord>
      <group>L1_Word</group>
      <groupName>字词问题</groupName>
      <ability>L2_Typo</ability>
      <abilityName>字词错误</abilityName>
      <candidateList>
        <item>牧业</item>
      </candidateList>
      <explain>存在发音相近字词的误用。</explain>
      <paraID>2D3AE802</paraID>
      <start>129</start>
      <end>131</end>
      <status>ignored</status>
      <modifiedWord/>
      <trackRevisions>false</trackRevisions>
    </reviewItem>
    <reviewItem>
      <errorID>0730530f-eb69-4089-9977-1250edbb6a5c</errorID>
      <errorWord>两不愁三保障</errorWord>
      <group>L1_Political</group>
      <groupName>政治性问题</groupName>
      <ability>L2_Keyword</ability>
      <abilityName>固定表述</abilityName>
      <candidateList>
        <item>‘两不愁三保障’</item>
      </candidateList>
      <explain>注意检查当前固定表述标点是否使用规范。</explain>
      <paraID>2C40FC9C</paraID>
      <start>58</start>
      <end>64</end>
      <status>ignored</status>
      <modifiedWord/>
      <trackRevisions>false</trackRevisions>
    </reviewItem>
    <reviewItem>
      <errorID>ca17c4f7-fe43-4dbc-86df-01bdc1848ee0</errorID>
      <errorWord>粮油大面积单产提升</errorWord>
      <group>L1_Political</group>
      <groupName>政治性问题</groupName>
      <ability>L2_Keyword</ability>
      <abilityName>固定表述</abilityName>
      <candidateList>
        <item>粮油作物大面积单产提升</item>
      </candidateList>
      <explain>词汇“粮油作物大面积单产提升”在特定场景下为固定表述形式，请确认此处的“粮油大面积单产提升”是否存在不当。</explain>
      <paraID>206E971D</paraID>
      <start>46</start>
      <end>55</end>
      <status>ignored</status>
      <modifiedWord/>
      <trackRevisions>false</trackRevisions>
    </reviewItem>
    <reviewItem>
      <errorID>3d3c0587-b3d8-4d41-99bc-6d88a1c7bbe5</errorID>
      <errorWord>文化与旅游</errorWord>
      <group>L1_Political</group>
      <groupName>政治性问题</groupName>
      <ability>L2_Unpolitical</ability>
      <abilityName>政治敏感错误</abilityName>
      <candidateList>
        <item>文化和旅游</item>
      </candidateList>
      <explain/>
      <paraID> DCE871A</paraID>
      <start>299</start>
      <end>304</end>
      <status>unmodified</status>
      <modifiedWord/>
      <trackRevisions>false</trackRevisions>
    </reviewItem>
    <reviewItem>
      <errorID>d189847a-7b02-4b9b-857d-ea8ac44f77d4</errorID>
      <errorWord>办好人民满意教育</errorWord>
      <group>L1_Political</group>
      <groupName>政治性问题</groupName>
      <ability>L2_Keyword</ability>
      <abilityName>固定表述</abilityName>
      <candidateList>
        <item>办好人民满意的教育</item>
      </candidateList>
      <explain>词汇“办好人民满意的教育”在特定场景下为固定表述形式，请确认此处的“办好人民满意教育”是否存在不当。</explain>
      <paraID>67DAD78C</paraID>
      <start>6</start>
      <end>14</end>
      <status>unmodified</status>
      <modifiedWord/>
      <trackRevisions>false</trackRevisions>
    </reviewItem>
    <reviewItem>
      <errorID>81427e0d-5d49-4822-9333-13779688a5cf</errorID>
      <errorWord>学校美育浸润计划</errorWord>
      <group>L1_Political</group>
      <groupName>政治性问题</groupName>
      <ability>L2_Unpolitical</ability>
      <abilityName>政治敏感错误</abilityName>
      <candidateList>
        <item>学校美育浸润行动</item>
      </candidateList>
      <explain/>
      <paraID>1C63EB4A</paraID>
      <start>199</start>
      <end>207</end>
      <status>unmodified</status>
      <modifiedWord/>
      <trackRevisions>false</trackRevisions>
    </reviewItem>
    <reviewItem>
      <errorID>7b4fb078-22fd-4655-bcf0-2236f8bc580f</errorID>
      <errorWord>乡村振兴战略衔接</errorWord>
      <group>L1_Political</group>
      <groupName>政治性问题</groupName>
      <ability>L2_Keyword</ability>
      <abilityName>固定表述</abilityName>
      <candidateList>
        <item>乡村振兴有效衔接</item>
      </candidateList>
      <explain>词汇“乡村振兴有效衔接”在特定场景下为固定表述形式，请确认此处的“乡村振兴战略衔接”是否存在不当。</explain>
      <paraID>75D7B0A0</paraID>
      <start>160</start>
      <end>168</end>
      <status>unmodified</status>
      <modifiedWord/>
      <trackRevisions>false</trackRevisions>
    </reviewItem>
    <reviewItem>
      <errorID>8d05b0d9-bbf7-4e5a-ba3f-b90c51ef43cb</errorID>
      <errorWord>育</errorWord>
      <group>L1_Word</group>
      <groupName>字词问题</groupName>
      <ability>L2_Typo</ability>
      <abilityName>字词错误</abilityName>
      <candidateList>
        <item>育和</item>
      </candidateList>
      <explain/>
      <paraID>38E8DEE0</paraID>
      <start>178</start>
      <end>179</end>
      <status>unmodified</status>
      <modifiedWord/>
      <trackRevisions>false</trackRevisions>
    </reviewItem>
    <reviewItem>
      <errorID>34f1af59-22b8-4400-b27a-cdf671db7af4</errorID>
      <errorWord>儿童医疗公共服务</errorWord>
      <group>L1_Political</group>
      <groupName>政治性问题</groupName>
      <ability>L2_Keyword</ability>
      <abilityName>固定表述</abilityName>
      <candidateList>
        <item>儿童医疗保健服务</item>
      </candidateList>
      <explain>词汇“儿童医疗保健服务”在特定场景下为固定表述形式，请确认此处的“儿童医疗公共服务”是否存在不当。</explain>
      <paraID>55B52916</paraID>
      <start>140</start>
      <end>148</end>
      <status>unmodified</status>
      <modifiedWord/>
      <trackRevisions>false</trackRevisions>
    </reviewItem>
    <reviewItem>
      <errorID>5d08bf62-9952-4e77-9132-58d158511b96</errorID>
      <errorWord>产业结构绿色升级</errorWord>
      <group>L1_Political</group>
      <groupName>政治性问题</groupName>
      <ability>L2_Keyword</ability>
      <abilityName>固定表述</abilityName>
      <candidateList>
        <item>产业结构优化升级</item>
      </candidateList>
      <explain>词汇“产业结构优化升级”在特定场景下为固定表述形式，请确认此处的“产业结构绿色升级”是否存在不当。</explain>
      <paraID>2A0C7FC1</paraID>
      <start>52</start>
      <end>60</end>
      <status>unmodified</status>
      <modifiedWord/>
      <trackRevisions>false</trackRevisions>
    </reviewItem>
    <reviewItem>
      <errorID>67505af9-df53-4ab7-a07c-f8c07d9a3cd0</errorID>
      <errorWord>饮用水水源地保护区</errorWord>
      <group>L1_Political</group>
      <groupName>政治性问题</groupName>
      <ability>L2_Keyword</ability>
      <abilityName>固定表述</abilityName>
      <candidateList>
        <item>饮用水水源保护区</item>
      </candidateList>
      <explain>词汇“饮用水水源保护区”在特定场景下为固定表述形式，请确认此处的“饮用水水源地保护区”是否存在不当。</explain>
      <paraID>29865C6B</paraID>
      <start>206</start>
      <end>215</end>
      <status>unmodified</status>
      <modifiedWord/>
      <trackRevisions>false</trackRevisions>
    </reviewItem>
    <reviewItem>
      <errorID>79db5cd1-460a-41a6-ae91-e7c54500fb74</errorID>
      <errorWord>土壤污染源头管控</errorWord>
      <group>L1_Political</group>
      <groupName>政治性问题</groupName>
      <ability>L2_Keyword</ability>
      <abilityName>固定表述</abilityName>
      <candidateList>
        <item>土壤污染源头防控</item>
      </candidateList>
      <explain>词汇“土壤污染源头防控”在特定场景下为固定表述形式，请确认此处的“土壤污染源头管控”是否存在不当。</explain>
      <paraID>72F897B0</paraID>
      <start>14</start>
      <end>22</end>
      <status>unmodified</status>
      <modifiedWord/>
      <trackRevisions>false</trackRevisions>
    </reviewItem>
    <reviewItem>
      <errorID>325ef0e9-4d20-410e-8e56-c7b6e31788ba</errorID>
      <errorWord>生态文明示范区</errorWord>
      <group>L1_Political</group>
      <groupName>政治性问题</groupName>
      <ability>L2_Keyword</ability>
      <abilityName>固定表述</abilityName>
      <candidateList>
        <item>生态文明建设示范区</item>
      </candidateList>
      <explain>词汇“生态文明建设示范区”在特定场景下为固定表述形式，请确认此处的“生态文明示范区”是否存在不当。</explain>
      <paraID>6BEFF7BD</paraID>
      <start>99</start>
      <end>106</end>
      <status>unmodified</status>
      <modifiedWord/>
      <trackRevisions>false</trackRevisions>
    </reviewItem>
    <reviewItem>
      <errorID>2d490558-1d8c-4713-a54c-becabba534e7</errorID>
      <errorWord>饮用水水源地保护区</errorWord>
      <group>L1_Political</group>
      <groupName>政治性问题</groupName>
      <ability>L2_Keyword</ability>
      <abilityName>固定表述</abilityName>
      <candidateList>
        <item>饮用水水源保护区</item>
      </candidateList>
      <explain>词汇“饮用水水源保护区”在特定场景下为固定表述形式，请确认此处的“饮用水水源地保护区”是否存在不当。</explain>
      <paraID>623F2196</paraID>
      <start>57</start>
      <end>66</end>
      <status>unmodified</status>
      <modifiedWord/>
      <trackRevisions>false</trackRevisions>
    </reviewItem>
    <reviewItem>
      <errorID>7060c637-964c-46fc-adec-44b95599a64e</errorID>
      <errorWord>集中统一、高效权威的安全领导体制</errorWord>
      <group>L1_Political</group>
      <groupName>政治性问题</groupName>
      <ability>L2_Keyword</ability>
      <abilityName>固定表述</abilityName>
      <candidateList>
        <item>集中统一、高效权威的国家安全领导体制</item>
      </candidateList>
      <explain>词汇“集中统一、高效权威的国家安全领导体制”在特定场景下为固定表述形式，请确认此处的“集中统一、高效权威的安全领导体制”是否存在不当。</explain>
      <paraID>513BA2D9</paraID>
      <start>11</start>
      <end>27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c9b94b-5c8b-4fe1-94b0-d92d8a1e85ca}">
  <ds:schemaRefs/>
</ds:datastoreItem>
</file>

<file path=docProps/app.xml><?xml version="1.0" encoding="utf-8"?>
<Properties xmlns="http://schemas.openxmlformats.org/officeDocument/2006/extended-properties" xmlns:vt="http://schemas.openxmlformats.org/officeDocument/2006/docPropsVTypes">
  <Template>Normal.dotm</Template>
  <Pages>119</Pages>
  <Words>8762</Words>
  <Characters>9013</Characters>
  <Lines>424</Lines>
  <Paragraphs>119</Paragraphs>
  <TotalTime>15</TotalTime>
  <ScaleCrop>false</ScaleCrop>
  <LinksUpToDate>false</LinksUpToDate>
  <CharactersWithSpaces>9272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2025-11-03T01:01:00Z</dcterms:created>
  <dc:creator>user</dc:creator>
  <cp:lastModifiedBy>包子</cp:lastModifiedBy>
  <cp:lastPrinted>2026-08-05T00:56:00Z</cp:lastPrinted>
  <dcterms:modified xsi:type="dcterms:W3CDTF">2026-10-13T10:39:26Z</dcterms:modified>
  <cp:revision>255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DBC9140EC3A3415A930359CF3FDA3096_13</vt:lpwstr>
  </property>
  <property fmtid="{D5CDD505-2E9C-101B-9397-08002B2CF9AE}" pid="4" name="KSOTemplateDocerSaveRecord">
    <vt:lpwstr>eyJoZGlkIjoiYWFlZWVmYjRiMTZlY2ExMDVlNjM0MWUyNjNkZjg0NGEiLCJ1c2VySWQiOiI0MDcxOTY4NzcifQ==</vt:lpwstr>
  </property>
</Properties>
</file>